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87" w:rsidRPr="001617D6" w:rsidRDefault="00146287" w:rsidP="00146287">
      <w:pPr>
        <w:rPr>
          <w:rFonts w:ascii="Arial" w:hAnsi="Arial" w:cs="Arial"/>
          <w:sz w:val="18"/>
          <w:szCs w:val="18"/>
        </w:rPr>
      </w:pPr>
    </w:p>
    <w:p w:rsidR="00146287" w:rsidRPr="001617D6" w:rsidRDefault="00146287" w:rsidP="00146287">
      <w:pPr>
        <w:jc w:val="center"/>
        <w:rPr>
          <w:rFonts w:ascii="Arial" w:hAnsi="Arial" w:cs="Arial"/>
          <w:b/>
          <w:sz w:val="18"/>
          <w:szCs w:val="18"/>
        </w:rPr>
      </w:pPr>
      <w:r w:rsidRPr="001617D6">
        <w:rPr>
          <w:rFonts w:ascii="Arial" w:hAnsi="Arial" w:cs="Arial"/>
          <w:b/>
          <w:sz w:val="18"/>
          <w:szCs w:val="18"/>
        </w:rPr>
        <w:t>NOTICE OF BENCHMARK TRANSITION EVENT</w:t>
      </w:r>
    </w:p>
    <w:p w:rsidR="001617D6" w:rsidRDefault="001617D6" w:rsidP="00146287">
      <w:pPr>
        <w:jc w:val="both"/>
        <w:rPr>
          <w:rFonts w:ascii="Arial" w:hAnsi="Arial" w:cs="Arial"/>
          <w:sz w:val="18"/>
          <w:szCs w:val="18"/>
        </w:rPr>
      </w:pPr>
    </w:p>
    <w:p w:rsidR="001617D6" w:rsidRDefault="00146287" w:rsidP="00146287">
      <w:pPr>
        <w:jc w:val="both"/>
        <w:rPr>
          <w:rFonts w:ascii="Arial" w:hAnsi="Arial" w:cs="Arial"/>
          <w:sz w:val="18"/>
          <w:szCs w:val="18"/>
        </w:rPr>
      </w:pPr>
      <w:bookmarkStart w:id="0" w:name="_GoBack"/>
      <w:bookmarkEnd w:id="0"/>
      <w:r w:rsidRPr="001617D6">
        <w:rPr>
          <w:rFonts w:ascii="Arial" w:hAnsi="Arial" w:cs="Arial"/>
          <w:sz w:val="18"/>
          <w:szCs w:val="18"/>
        </w:rPr>
        <w:t xml:space="preserve">On March 5, 2021 the Financial Conduct Authority (“FCA”), the regulatory supervisor of LIBOR’s administrator, announced in a public statement the future cessation or loss of representativeness of the 35 LIBOR benchmark settings currently published by ICE Benchmark administration (IBA) immediately following the respective dates set forth in the table below (“FCA statement”). </w:t>
      </w:r>
    </w:p>
    <w:p w:rsidR="00146287" w:rsidRPr="001617D6" w:rsidRDefault="00146287" w:rsidP="00146287">
      <w:pPr>
        <w:jc w:val="both"/>
        <w:rPr>
          <w:rFonts w:ascii="Arial" w:hAnsi="Arial" w:cs="Arial"/>
          <w:sz w:val="18"/>
          <w:szCs w:val="18"/>
        </w:rPr>
      </w:pPr>
      <w:r w:rsidRPr="001617D6">
        <w:rPr>
          <w:rFonts w:ascii="Arial" w:hAnsi="Arial" w:cs="Arial"/>
          <w:sz w:val="18"/>
          <w:szCs w:val="18"/>
        </w:rPr>
        <w:t xml:space="preserve">The FCA’s public statement is available here: https://www.fca.org.uk/publication/documents/future-cessation-loss-representativeness-libor-benchmarks.pdf. </w:t>
      </w:r>
    </w:p>
    <w:tbl>
      <w:tblPr>
        <w:tblpPr w:leftFromText="180" w:rightFromText="180" w:vertAnchor="text" w:tblpX="1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46287" w:rsidRPr="001617D6" w:rsidTr="00C24AFE">
        <w:tc>
          <w:tcPr>
            <w:tcW w:w="3005"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b/>
                <w:bCs/>
                <w:sz w:val="18"/>
                <w:szCs w:val="18"/>
              </w:rPr>
            </w:pPr>
            <w:r w:rsidRPr="001617D6">
              <w:rPr>
                <w:rFonts w:ascii="Arial" w:hAnsi="Arial" w:cs="Arial"/>
                <w:b/>
                <w:bCs/>
                <w:sz w:val="18"/>
                <w:szCs w:val="18"/>
              </w:rPr>
              <w:t>LIBOR Currency</w:t>
            </w:r>
          </w:p>
        </w:tc>
        <w:tc>
          <w:tcPr>
            <w:tcW w:w="3005"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b/>
                <w:bCs/>
                <w:sz w:val="18"/>
                <w:szCs w:val="18"/>
              </w:rPr>
            </w:pPr>
            <w:r w:rsidRPr="001617D6">
              <w:rPr>
                <w:rFonts w:ascii="Arial" w:hAnsi="Arial" w:cs="Arial"/>
                <w:b/>
                <w:bCs/>
                <w:sz w:val="18"/>
                <w:szCs w:val="18"/>
              </w:rPr>
              <w:t>LIBOR Settings</w:t>
            </w:r>
          </w:p>
        </w:tc>
        <w:tc>
          <w:tcPr>
            <w:tcW w:w="3006" w:type="dxa"/>
            <w:shd w:val="clear" w:color="auto" w:fill="auto"/>
          </w:tcPr>
          <w:p w:rsidR="00146287" w:rsidRPr="001617D6" w:rsidRDefault="00146287" w:rsidP="00146287">
            <w:pPr>
              <w:pStyle w:val="NormalWeb"/>
              <w:spacing w:before="120" w:beforeAutospacing="0" w:after="0" w:afterAutospacing="0" w:line="240" w:lineRule="auto"/>
              <w:jc w:val="both"/>
              <w:textAlignment w:val="top"/>
              <w:rPr>
                <w:rFonts w:ascii="Arial" w:hAnsi="Arial" w:cs="Arial"/>
                <w:b/>
                <w:bCs/>
                <w:sz w:val="18"/>
                <w:szCs w:val="18"/>
              </w:rPr>
            </w:pPr>
            <w:r w:rsidRPr="001617D6">
              <w:rPr>
                <w:rFonts w:ascii="Arial" w:hAnsi="Arial" w:cs="Arial"/>
                <w:b/>
                <w:bCs/>
                <w:sz w:val="18"/>
                <w:szCs w:val="18"/>
              </w:rPr>
              <w:t>Final Publication or Representativeness Date</w:t>
            </w:r>
          </w:p>
        </w:tc>
      </w:tr>
      <w:tr w:rsidR="00146287" w:rsidRPr="001617D6" w:rsidTr="00C24AFE">
        <w:tc>
          <w:tcPr>
            <w:tcW w:w="3005"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sz w:val="18"/>
                <w:szCs w:val="18"/>
              </w:rPr>
            </w:pPr>
            <w:r w:rsidRPr="001617D6">
              <w:rPr>
                <w:rFonts w:ascii="Arial" w:hAnsi="Arial" w:cs="Arial"/>
                <w:sz w:val="18"/>
                <w:szCs w:val="18"/>
              </w:rPr>
              <w:t>USD</w:t>
            </w:r>
          </w:p>
        </w:tc>
        <w:tc>
          <w:tcPr>
            <w:tcW w:w="3005"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sz w:val="18"/>
                <w:szCs w:val="18"/>
              </w:rPr>
            </w:pPr>
            <w:r w:rsidRPr="001617D6">
              <w:rPr>
                <w:rFonts w:ascii="Arial" w:hAnsi="Arial" w:cs="Arial"/>
                <w:sz w:val="18"/>
                <w:szCs w:val="18"/>
              </w:rPr>
              <w:t>1-week, 2-month</w:t>
            </w:r>
          </w:p>
        </w:tc>
        <w:tc>
          <w:tcPr>
            <w:tcW w:w="3006"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sz w:val="18"/>
                <w:szCs w:val="18"/>
              </w:rPr>
            </w:pPr>
            <w:r w:rsidRPr="001617D6">
              <w:rPr>
                <w:rFonts w:ascii="Arial" w:hAnsi="Arial" w:cs="Arial"/>
                <w:sz w:val="18"/>
                <w:szCs w:val="18"/>
              </w:rPr>
              <w:t>December 31, 2021</w:t>
            </w:r>
          </w:p>
        </w:tc>
      </w:tr>
      <w:tr w:rsidR="00146287" w:rsidRPr="001617D6" w:rsidTr="00C24AFE">
        <w:tc>
          <w:tcPr>
            <w:tcW w:w="3005"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sz w:val="18"/>
                <w:szCs w:val="18"/>
              </w:rPr>
            </w:pPr>
            <w:r w:rsidRPr="001617D6">
              <w:rPr>
                <w:rFonts w:ascii="Arial" w:hAnsi="Arial" w:cs="Arial"/>
                <w:sz w:val="18"/>
                <w:szCs w:val="18"/>
              </w:rPr>
              <w:t>USD</w:t>
            </w:r>
          </w:p>
        </w:tc>
        <w:tc>
          <w:tcPr>
            <w:tcW w:w="3005" w:type="dxa"/>
            <w:shd w:val="clear" w:color="auto" w:fill="auto"/>
          </w:tcPr>
          <w:p w:rsidR="00146287" w:rsidRPr="001617D6" w:rsidRDefault="00146287" w:rsidP="00C24AFE">
            <w:pPr>
              <w:pStyle w:val="NormalWeb"/>
              <w:jc w:val="both"/>
              <w:textAlignment w:val="top"/>
              <w:rPr>
                <w:rFonts w:ascii="Arial" w:hAnsi="Arial" w:cs="Arial"/>
                <w:sz w:val="18"/>
                <w:szCs w:val="18"/>
              </w:rPr>
            </w:pPr>
            <w:r w:rsidRPr="001617D6">
              <w:rPr>
                <w:rFonts w:ascii="Arial" w:hAnsi="Arial" w:cs="Arial"/>
                <w:sz w:val="18"/>
                <w:szCs w:val="18"/>
              </w:rPr>
              <w:t>All other settings (i.e., Overnight/Spot Next, 1-month, 3-month, 6-month and 12-month)</w:t>
            </w:r>
          </w:p>
        </w:tc>
        <w:tc>
          <w:tcPr>
            <w:tcW w:w="3006" w:type="dxa"/>
            <w:shd w:val="clear" w:color="auto" w:fill="auto"/>
          </w:tcPr>
          <w:p w:rsidR="00146287" w:rsidRPr="001617D6" w:rsidRDefault="00146287" w:rsidP="00C24AFE">
            <w:pPr>
              <w:pStyle w:val="NormalWeb"/>
              <w:spacing w:before="120" w:beforeAutospacing="0" w:after="0" w:afterAutospacing="0" w:line="360" w:lineRule="auto"/>
              <w:jc w:val="both"/>
              <w:textAlignment w:val="top"/>
              <w:rPr>
                <w:rFonts w:ascii="Arial" w:hAnsi="Arial" w:cs="Arial"/>
                <w:sz w:val="18"/>
                <w:szCs w:val="18"/>
              </w:rPr>
            </w:pPr>
            <w:r w:rsidRPr="001617D6">
              <w:rPr>
                <w:rFonts w:ascii="Arial" w:hAnsi="Arial" w:cs="Arial"/>
                <w:sz w:val="18"/>
                <w:szCs w:val="18"/>
              </w:rPr>
              <w:t>June 30, 2023</w:t>
            </w:r>
          </w:p>
        </w:tc>
      </w:tr>
    </w:tbl>
    <w:p w:rsidR="00146287" w:rsidRPr="001617D6" w:rsidRDefault="00146287" w:rsidP="00146287">
      <w:pPr>
        <w:rPr>
          <w:rFonts w:ascii="Arial" w:hAnsi="Arial" w:cs="Arial"/>
          <w:sz w:val="18"/>
          <w:szCs w:val="18"/>
        </w:rPr>
      </w:pPr>
    </w:p>
    <w:p w:rsidR="00146287" w:rsidRPr="001617D6" w:rsidRDefault="00146287" w:rsidP="00146287">
      <w:pPr>
        <w:jc w:val="both"/>
        <w:rPr>
          <w:rFonts w:ascii="Arial" w:hAnsi="Arial" w:cs="Arial"/>
          <w:sz w:val="18"/>
          <w:szCs w:val="18"/>
        </w:rPr>
      </w:pPr>
      <w:r w:rsidRPr="001617D6">
        <w:rPr>
          <w:rFonts w:ascii="Arial" w:hAnsi="Arial" w:cs="Arial"/>
          <w:sz w:val="18"/>
          <w:szCs w:val="18"/>
        </w:rPr>
        <w:t>This notice constitutes of notice of the Benchmark Transition Event in accordance with the terms of your loan documents.</w:t>
      </w:r>
    </w:p>
    <w:p w:rsidR="006B5815" w:rsidRPr="001617D6" w:rsidRDefault="001617D6" w:rsidP="00146287">
      <w:pPr>
        <w:rPr>
          <w:rFonts w:ascii="Arial" w:hAnsi="Arial" w:cs="Arial"/>
          <w:sz w:val="18"/>
          <w:szCs w:val="18"/>
        </w:rPr>
      </w:pPr>
    </w:p>
    <w:sectPr w:rsidR="006B5815" w:rsidRPr="001617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87" w:rsidRDefault="00146287" w:rsidP="00146287">
      <w:pPr>
        <w:spacing w:after="0" w:line="240" w:lineRule="auto"/>
      </w:pPr>
      <w:r>
        <w:separator/>
      </w:r>
    </w:p>
  </w:endnote>
  <w:endnote w:type="continuationSeparator" w:id="0">
    <w:p w:rsidR="00146287" w:rsidRDefault="00146287" w:rsidP="0014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87" w:rsidRDefault="00146287" w:rsidP="00146287">
      <w:pPr>
        <w:spacing w:after="0" w:line="240" w:lineRule="auto"/>
      </w:pPr>
      <w:r>
        <w:separator/>
      </w:r>
    </w:p>
  </w:footnote>
  <w:footnote w:type="continuationSeparator" w:id="0">
    <w:p w:rsidR="00146287" w:rsidRDefault="00146287" w:rsidP="00146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87"/>
    <w:rsid w:val="00037A58"/>
    <w:rsid w:val="00146287"/>
    <w:rsid w:val="001617D6"/>
    <w:rsid w:val="00D70108"/>
    <w:rsid w:val="00F9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75F5"/>
  <w15:chartTrackingRefBased/>
  <w15:docId w15:val="{57171F1B-31ED-4884-9432-4CA84C13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6287"/>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Branch Banking and Trust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Stidham, Tamara</dc:creator>
  <cp:keywords>Internal</cp:keywords>
  <dc:description/>
  <cp:lastModifiedBy>Bearden.Marc</cp:lastModifiedBy>
  <cp:revision>3</cp:revision>
  <dcterms:created xsi:type="dcterms:W3CDTF">2021-03-08T20:25:00Z</dcterms:created>
  <dcterms:modified xsi:type="dcterms:W3CDTF">2021-03-11T22:18:00Z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14cb83c2-a0f5-4c6e-b07c-ec74863cf382</vt:lpwstr>
  </property>
  <property fmtid="{D5CDD505-2E9C-101B-9397-08002B2CF9AE}" pid="3" name="Classification">
    <vt:lpwstr>TitusClass-Internal</vt:lpwstr>
  </property>
  <property fmtid="{D5CDD505-2E9C-101B-9397-08002B2CF9AE}" pid="4" name="ApplyVisualMarkings">
    <vt:lpwstr>No_v2</vt:lpwstr>
  </property>
  <property fmtid="{D5CDD505-2E9C-101B-9397-08002B2CF9AE}" pid="5" name="DataRiskClassification">
    <vt:lpwstr>Undetermined</vt:lpwstr>
  </property>
</Properties>
</file>