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5513" w14:textId="6ED33C85" w:rsidR="00932C61" w:rsidRDefault="00932C61" w:rsidP="0090279A">
      <w:pPr>
        <w:pStyle w:val="NoSpacing"/>
      </w:pPr>
      <w:bookmarkStart w:id="0" w:name="_GoBack"/>
      <w:bookmarkEnd w:id="0"/>
    </w:p>
    <w:p w14:paraId="719BB5CC" w14:textId="4DDAF005" w:rsidR="006C44A3" w:rsidRDefault="00C45E74" w:rsidP="006C44A3">
      <w:pPr>
        <w:pStyle w:val="NoSpacing"/>
        <w:rPr>
          <w:rStyle w:val="Strong"/>
          <w:sz w:val="44"/>
          <w:szCs w:val="44"/>
          <w:u w:val="single"/>
        </w:rPr>
      </w:pPr>
      <w:r w:rsidRPr="00D54DB0">
        <w:rPr>
          <w:b/>
          <w:noProof/>
          <w:sz w:val="18"/>
          <w:szCs w:val="18"/>
          <w:lang w:eastAsia="en-US"/>
        </w:rPr>
        <w:drawing>
          <wp:inline distT="0" distB="0" distL="0" distR="0" wp14:anchorId="4704CAA3" wp14:editId="1DDEAC5A">
            <wp:extent cx="1552575" cy="1266825"/>
            <wp:effectExtent l="0" t="0" r="0" b="0"/>
            <wp:docPr id="9" name="Picture 82" descr="C:\Users\ugbb156\Pictures\STLogo_vrt_tru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gbb156\Pictures\STLogo_vrt_truist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inline>
        </w:drawing>
      </w:r>
    </w:p>
    <w:p w14:paraId="7187826F" w14:textId="7091DA78" w:rsidR="00731CAC" w:rsidRDefault="006C44A3" w:rsidP="006C44A3">
      <w:pPr>
        <w:pStyle w:val="NoSpacing"/>
        <w:rPr>
          <w:rStyle w:val="Strong"/>
          <w:sz w:val="44"/>
          <w:szCs w:val="44"/>
          <w:u w:val="single"/>
        </w:rPr>
      </w:pPr>
      <w:r w:rsidRPr="006C44A3">
        <w:rPr>
          <w:rStyle w:val="Strong"/>
          <w:sz w:val="44"/>
          <w:szCs w:val="44"/>
        </w:rPr>
        <w:tab/>
      </w:r>
      <w:r w:rsidR="0018692C" w:rsidRPr="0018692C">
        <w:rPr>
          <w:rStyle w:val="Strong"/>
          <w:sz w:val="44"/>
          <w:szCs w:val="44"/>
          <w:u w:val="single"/>
        </w:rPr>
        <w:t>TRU</w:t>
      </w:r>
      <w:r w:rsidR="009B7366">
        <w:rPr>
          <w:rStyle w:val="Strong"/>
          <w:sz w:val="44"/>
          <w:szCs w:val="44"/>
          <w:u w:val="single"/>
        </w:rPr>
        <w:t>I</w:t>
      </w:r>
      <w:r w:rsidR="0018692C" w:rsidRPr="0018692C">
        <w:rPr>
          <w:rStyle w:val="Strong"/>
          <w:sz w:val="44"/>
          <w:szCs w:val="44"/>
          <w:u w:val="single"/>
        </w:rPr>
        <w:t>ST OUTSIDE COUNSEL WEBSITE BULLETIN</w:t>
      </w:r>
    </w:p>
    <w:p w14:paraId="4E2755F2" w14:textId="5619013A" w:rsidR="006C44A3" w:rsidRPr="006C44A3" w:rsidRDefault="006C44A3" w:rsidP="006C44A3">
      <w:pPr>
        <w:pStyle w:val="NoSpacing"/>
      </w:pPr>
    </w:p>
    <w:p w14:paraId="07139B96" w14:textId="77777777" w:rsidR="00731CAC" w:rsidRDefault="00731CAC" w:rsidP="00A8550C">
      <w:pPr>
        <w:rPr>
          <w:b/>
          <w:color w:val="000000" w:themeColor="text1"/>
        </w:rPr>
      </w:pPr>
    </w:p>
    <w:p w14:paraId="7D2F8C28" w14:textId="76A3DAF3" w:rsidR="00EC5137" w:rsidRDefault="00A8550C" w:rsidP="00A8550C">
      <w:pPr>
        <w:rPr>
          <w:b/>
          <w:color w:val="000000" w:themeColor="text1"/>
        </w:rPr>
      </w:pPr>
      <w:r w:rsidRPr="0018692C">
        <w:rPr>
          <w:b/>
          <w:color w:val="000000" w:themeColor="text1"/>
        </w:rPr>
        <w:t xml:space="preserve">Date: </w:t>
      </w:r>
      <w:r w:rsidRPr="0018692C">
        <w:rPr>
          <w:b/>
          <w:color w:val="000000" w:themeColor="text1"/>
        </w:rPr>
        <w:tab/>
      </w:r>
      <w:r w:rsidR="002545C3">
        <w:rPr>
          <w:b/>
          <w:color w:val="000000" w:themeColor="text1"/>
        </w:rPr>
        <w:t>February 26, 2021</w:t>
      </w:r>
    </w:p>
    <w:p w14:paraId="04D29815" w14:textId="77777777" w:rsidR="009B7366" w:rsidRPr="0018692C" w:rsidRDefault="009B7366" w:rsidP="00A8550C">
      <w:pPr>
        <w:rPr>
          <w:b/>
          <w:color w:val="000000" w:themeColor="text1"/>
        </w:rPr>
      </w:pPr>
    </w:p>
    <w:p w14:paraId="62BA1748" w14:textId="43109490" w:rsidR="00EC5137" w:rsidRDefault="00EC5137" w:rsidP="00A8550C">
      <w:pPr>
        <w:rPr>
          <w:b/>
          <w:color w:val="000000" w:themeColor="text1"/>
        </w:rPr>
      </w:pPr>
      <w:r w:rsidRPr="0018692C">
        <w:rPr>
          <w:b/>
          <w:color w:val="000000" w:themeColor="text1"/>
        </w:rPr>
        <w:t xml:space="preserve">To: </w:t>
      </w:r>
      <w:r w:rsidRPr="0018692C">
        <w:rPr>
          <w:b/>
          <w:color w:val="000000" w:themeColor="text1"/>
        </w:rPr>
        <w:tab/>
        <w:t>All Tru</w:t>
      </w:r>
      <w:r w:rsidR="00C45E74">
        <w:rPr>
          <w:b/>
          <w:color w:val="000000" w:themeColor="text1"/>
        </w:rPr>
        <w:t>i</w:t>
      </w:r>
      <w:r w:rsidRPr="0018692C">
        <w:rPr>
          <w:b/>
          <w:color w:val="000000" w:themeColor="text1"/>
        </w:rPr>
        <w:t xml:space="preserve">st Outside Counsel </w:t>
      </w:r>
    </w:p>
    <w:p w14:paraId="17009A0D" w14:textId="0D22A910" w:rsidR="004747DB" w:rsidRDefault="004747DB" w:rsidP="00A8550C">
      <w:pPr>
        <w:rPr>
          <w:b/>
          <w:color w:val="000000" w:themeColor="text1"/>
        </w:rPr>
      </w:pPr>
    </w:p>
    <w:p w14:paraId="05BC711B" w14:textId="4E0A2D19" w:rsidR="004747DB" w:rsidRPr="0018692C" w:rsidRDefault="004747DB" w:rsidP="00A8550C">
      <w:pPr>
        <w:rPr>
          <w:b/>
          <w:color w:val="000000" w:themeColor="text1"/>
        </w:rPr>
      </w:pPr>
      <w:r>
        <w:rPr>
          <w:b/>
          <w:color w:val="000000" w:themeColor="text1"/>
        </w:rPr>
        <w:t>From:</w:t>
      </w:r>
      <w:r>
        <w:rPr>
          <w:b/>
          <w:color w:val="000000" w:themeColor="text1"/>
        </w:rPr>
        <w:tab/>
      </w:r>
      <w:r w:rsidR="009B7366">
        <w:rPr>
          <w:b/>
          <w:color w:val="000000" w:themeColor="text1"/>
        </w:rPr>
        <w:t xml:space="preserve">Nick Cook – </w:t>
      </w:r>
      <w:r>
        <w:rPr>
          <w:b/>
          <w:color w:val="000000" w:themeColor="text1"/>
        </w:rPr>
        <w:t>Tru</w:t>
      </w:r>
      <w:r w:rsidR="009B7366">
        <w:rPr>
          <w:b/>
          <w:color w:val="000000" w:themeColor="text1"/>
        </w:rPr>
        <w:t>i</w:t>
      </w:r>
      <w:r>
        <w:rPr>
          <w:b/>
          <w:color w:val="000000" w:themeColor="text1"/>
        </w:rPr>
        <w:t>st Legal Department</w:t>
      </w:r>
    </w:p>
    <w:p w14:paraId="094DFD8E" w14:textId="77777777" w:rsidR="00EC5137" w:rsidRPr="0018692C" w:rsidRDefault="00EC5137" w:rsidP="00A8550C">
      <w:pPr>
        <w:rPr>
          <w:b/>
          <w:color w:val="000000" w:themeColor="text1"/>
        </w:rPr>
      </w:pPr>
    </w:p>
    <w:p w14:paraId="3837BD81" w14:textId="43418E80" w:rsidR="00A8550C" w:rsidRPr="0018692C" w:rsidRDefault="00A8550C" w:rsidP="00A8550C">
      <w:pPr>
        <w:rPr>
          <w:b/>
          <w:color w:val="000000" w:themeColor="text1"/>
        </w:rPr>
      </w:pPr>
      <w:r w:rsidRPr="0018692C">
        <w:rPr>
          <w:b/>
          <w:color w:val="000000" w:themeColor="text1"/>
        </w:rPr>
        <w:t xml:space="preserve">Re: </w:t>
      </w:r>
      <w:r w:rsidRPr="0018692C">
        <w:rPr>
          <w:b/>
          <w:color w:val="000000" w:themeColor="text1"/>
        </w:rPr>
        <w:tab/>
      </w:r>
      <w:r w:rsidR="001A2E8C">
        <w:rPr>
          <w:b/>
          <w:color w:val="000000" w:themeColor="text1"/>
        </w:rPr>
        <w:t xml:space="preserve">Notice of </w:t>
      </w:r>
      <w:r w:rsidRPr="0018692C">
        <w:rPr>
          <w:b/>
          <w:color w:val="000000" w:themeColor="text1"/>
        </w:rPr>
        <w:t>Re</w:t>
      </w:r>
      <w:r w:rsidR="001A2E8C">
        <w:rPr>
          <w:b/>
          <w:color w:val="000000" w:themeColor="text1"/>
        </w:rPr>
        <w:t xml:space="preserve">vised Truist LIBOR Addendum </w:t>
      </w:r>
    </w:p>
    <w:p w14:paraId="734EAD60" w14:textId="77777777" w:rsidR="00A8550C" w:rsidRDefault="00A8550C" w:rsidP="00A8550C">
      <w:pPr>
        <w:rPr>
          <w:b/>
        </w:rPr>
      </w:pPr>
    </w:p>
    <w:p w14:paraId="4095BF40" w14:textId="64649F50" w:rsidR="001A2E8C" w:rsidRDefault="00A8550C" w:rsidP="000C33AC">
      <w:pPr>
        <w:pStyle w:val="NoSpacing"/>
        <w:jc w:val="both"/>
      </w:pPr>
      <w:r>
        <w:t xml:space="preserve">Effective </w:t>
      </w:r>
      <w:r w:rsidR="00A42D27">
        <w:t xml:space="preserve">March </w:t>
      </w:r>
      <w:r w:rsidR="00011210">
        <w:t>1</w:t>
      </w:r>
      <w:r w:rsidR="002545C3">
        <w:t>, 2021</w:t>
      </w:r>
      <w:r w:rsidR="00AC7170">
        <w:t xml:space="preserve">, </w:t>
      </w:r>
      <w:r w:rsidR="001A2E8C">
        <w:t xml:space="preserve">new Truist LIBOR addendum </w:t>
      </w:r>
      <w:r w:rsidR="000C33AC">
        <w:t xml:space="preserve">form </w:t>
      </w:r>
      <w:r w:rsidR="001A2E8C">
        <w:t xml:space="preserve">documents </w:t>
      </w:r>
      <w:r w:rsidR="00C45E74">
        <w:t xml:space="preserve">will </w:t>
      </w:r>
      <w:r w:rsidR="00F24925">
        <w:t xml:space="preserve">replace the existing LIBOR addendum forms on </w:t>
      </w:r>
      <w:r w:rsidR="00C45E74">
        <w:t xml:space="preserve">the </w:t>
      </w:r>
      <w:r w:rsidR="001A2E8C">
        <w:t>Truist Outs</w:t>
      </w:r>
      <w:r w:rsidR="00A42D27">
        <w:t>ide Counsel Website.  The</w:t>
      </w:r>
      <w:r w:rsidR="001A2E8C">
        <w:t xml:space="preserve"> LIBOR addendum documents </w:t>
      </w:r>
      <w:r w:rsidR="000C33AC">
        <w:t xml:space="preserve">that appeared </w:t>
      </w:r>
      <w:r w:rsidR="001A2E8C">
        <w:t xml:space="preserve">on the Website </w:t>
      </w:r>
      <w:r w:rsidR="00A42D27">
        <w:t xml:space="preserve">prior to March 1, 2021 </w:t>
      </w:r>
      <w:r w:rsidR="001A2E8C">
        <w:t xml:space="preserve">have been retired and should no longer be used for </w:t>
      </w:r>
      <w:r w:rsidR="00C45E74">
        <w:t xml:space="preserve">any </w:t>
      </w:r>
      <w:r w:rsidR="001A2E8C">
        <w:t xml:space="preserve">new or renewal loan transactions documented by counsel representing Truist Bank. </w:t>
      </w:r>
    </w:p>
    <w:p w14:paraId="512FC89C" w14:textId="312FE955" w:rsidR="001A2E8C" w:rsidRDefault="001A2E8C" w:rsidP="000C33AC">
      <w:pPr>
        <w:pStyle w:val="NoSpacing"/>
        <w:jc w:val="both"/>
      </w:pPr>
    </w:p>
    <w:p w14:paraId="106CC0C8" w14:textId="15A2C2E5" w:rsidR="001A2E8C" w:rsidRDefault="001A2E8C" w:rsidP="000C33AC">
      <w:pPr>
        <w:jc w:val="both"/>
        <w:rPr>
          <w:rFonts w:asciiTheme="minorHAnsi" w:hAnsiTheme="minorHAnsi" w:cstheme="minorHAnsi"/>
          <w:b/>
          <w:color w:val="auto"/>
          <w:sz w:val="22"/>
          <w:szCs w:val="22"/>
          <w:u w:val="single"/>
        </w:rPr>
      </w:pPr>
      <w:r w:rsidRPr="001A2E8C">
        <w:rPr>
          <w:rFonts w:asciiTheme="minorHAnsi" w:hAnsiTheme="minorHAnsi" w:cstheme="minorHAnsi"/>
          <w:b/>
          <w:color w:val="auto"/>
          <w:sz w:val="22"/>
          <w:szCs w:val="22"/>
          <w:u w:val="single"/>
        </w:rPr>
        <w:t xml:space="preserve">Overview of the </w:t>
      </w:r>
      <w:r w:rsidR="007B6085">
        <w:rPr>
          <w:rFonts w:asciiTheme="minorHAnsi" w:hAnsiTheme="minorHAnsi" w:cstheme="minorHAnsi"/>
          <w:b/>
          <w:color w:val="auto"/>
          <w:sz w:val="22"/>
          <w:szCs w:val="22"/>
          <w:u w:val="single"/>
        </w:rPr>
        <w:t xml:space="preserve">revised </w:t>
      </w:r>
      <w:r w:rsidRPr="001A2E8C">
        <w:rPr>
          <w:rFonts w:asciiTheme="minorHAnsi" w:hAnsiTheme="minorHAnsi" w:cstheme="minorHAnsi"/>
          <w:b/>
          <w:color w:val="auto"/>
          <w:sz w:val="22"/>
          <w:szCs w:val="22"/>
          <w:u w:val="single"/>
        </w:rPr>
        <w:t>Truist LIBOR Addendum</w:t>
      </w:r>
    </w:p>
    <w:p w14:paraId="5575CDC8" w14:textId="77777777" w:rsidR="001A2E8C" w:rsidRPr="001A2E8C" w:rsidRDefault="001A2E8C" w:rsidP="000C33AC">
      <w:pPr>
        <w:jc w:val="both"/>
        <w:rPr>
          <w:rFonts w:asciiTheme="minorHAnsi" w:hAnsiTheme="minorHAnsi" w:cstheme="minorHAnsi"/>
          <w:b/>
          <w:color w:val="auto"/>
          <w:sz w:val="22"/>
          <w:szCs w:val="22"/>
          <w:u w:val="single"/>
        </w:rPr>
      </w:pPr>
    </w:p>
    <w:p w14:paraId="372C829D" w14:textId="49DEDA32" w:rsidR="001A2E8C" w:rsidRPr="001A2E8C" w:rsidRDefault="001A2E8C" w:rsidP="000C33AC">
      <w:pPr>
        <w:pStyle w:val="ListParagraph"/>
        <w:numPr>
          <w:ilvl w:val="0"/>
          <w:numId w:val="22"/>
        </w:numPr>
        <w:spacing w:after="160" w:line="259" w:lineRule="auto"/>
        <w:jc w:val="both"/>
        <w:rPr>
          <w:rFonts w:asciiTheme="minorHAnsi" w:hAnsiTheme="minorHAnsi" w:cstheme="minorHAnsi"/>
          <w:color w:val="auto"/>
          <w:sz w:val="22"/>
          <w:szCs w:val="22"/>
        </w:rPr>
      </w:pPr>
      <w:r w:rsidRPr="001A2E8C">
        <w:rPr>
          <w:rFonts w:asciiTheme="minorHAnsi" w:hAnsiTheme="minorHAnsi" w:cstheme="minorHAnsi"/>
          <w:color w:val="auto"/>
          <w:sz w:val="22"/>
          <w:szCs w:val="22"/>
        </w:rPr>
        <w:t xml:space="preserve">The Addendum addresses how a replacement index will be determined when </w:t>
      </w:r>
      <w:r w:rsidR="00EC4DA3">
        <w:rPr>
          <w:rFonts w:asciiTheme="minorHAnsi" w:hAnsiTheme="minorHAnsi" w:cstheme="minorHAnsi"/>
          <w:color w:val="auto"/>
          <w:sz w:val="22"/>
          <w:szCs w:val="22"/>
        </w:rPr>
        <w:t xml:space="preserve">USD </w:t>
      </w:r>
      <w:r w:rsidRPr="001A2E8C">
        <w:rPr>
          <w:rFonts w:asciiTheme="minorHAnsi" w:hAnsiTheme="minorHAnsi" w:cstheme="minorHAnsi"/>
          <w:color w:val="auto"/>
          <w:sz w:val="22"/>
          <w:szCs w:val="22"/>
        </w:rPr>
        <w:t xml:space="preserve">LIBOR </w:t>
      </w:r>
      <w:r w:rsidR="007B6085">
        <w:rPr>
          <w:rFonts w:asciiTheme="minorHAnsi" w:hAnsiTheme="minorHAnsi" w:cstheme="minorHAnsi"/>
          <w:color w:val="auto"/>
          <w:sz w:val="22"/>
          <w:szCs w:val="22"/>
        </w:rPr>
        <w:t xml:space="preserve">(the “Benchmark”) </w:t>
      </w:r>
      <w:r w:rsidRPr="001A2E8C">
        <w:rPr>
          <w:rFonts w:asciiTheme="minorHAnsi" w:hAnsiTheme="minorHAnsi" w:cstheme="minorHAnsi"/>
          <w:color w:val="auto"/>
          <w:sz w:val="22"/>
          <w:szCs w:val="22"/>
        </w:rPr>
        <w:t>ceases as a viable index.</w:t>
      </w:r>
    </w:p>
    <w:p w14:paraId="73A2889C" w14:textId="3F50F1D2" w:rsidR="001A2E8C" w:rsidRPr="00CD2B35" w:rsidRDefault="001A2E8C" w:rsidP="00230BE7">
      <w:pPr>
        <w:pStyle w:val="ListParagraph"/>
        <w:numPr>
          <w:ilvl w:val="0"/>
          <w:numId w:val="22"/>
        </w:numPr>
        <w:spacing w:after="160" w:line="259" w:lineRule="auto"/>
        <w:jc w:val="both"/>
        <w:rPr>
          <w:rFonts w:asciiTheme="minorHAnsi" w:hAnsiTheme="minorHAnsi" w:cstheme="minorHAnsi"/>
          <w:b/>
          <w:color w:val="auto"/>
          <w:sz w:val="22"/>
          <w:szCs w:val="22"/>
          <w:u w:val="single"/>
        </w:rPr>
      </w:pPr>
      <w:r w:rsidRPr="00230BE7">
        <w:rPr>
          <w:rFonts w:asciiTheme="minorHAnsi" w:hAnsiTheme="minorHAnsi" w:cstheme="minorHAnsi"/>
          <w:color w:val="auto"/>
          <w:sz w:val="22"/>
          <w:szCs w:val="22"/>
        </w:rPr>
        <w:t xml:space="preserve">The Addendum </w:t>
      </w:r>
      <w:r w:rsidR="00A42D27" w:rsidRPr="00230BE7">
        <w:rPr>
          <w:rFonts w:asciiTheme="minorHAnsi" w:hAnsiTheme="minorHAnsi" w:cstheme="minorHAnsi"/>
          <w:color w:val="auto"/>
          <w:sz w:val="22"/>
          <w:szCs w:val="22"/>
        </w:rPr>
        <w:t>contains a Benchmark Replacement waterfall that includes the fol</w:t>
      </w:r>
      <w:r w:rsidR="00230BE7" w:rsidRPr="00230BE7">
        <w:rPr>
          <w:rFonts w:asciiTheme="minorHAnsi" w:hAnsiTheme="minorHAnsi" w:cstheme="minorHAnsi"/>
          <w:color w:val="auto"/>
          <w:sz w:val="22"/>
          <w:szCs w:val="22"/>
        </w:rPr>
        <w:t>lowing Benchmark Replacement options</w:t>
      </w:r>
      <w:r w:rsidR="00A42D27" w:rsidRPr="00230BE7">
        <w:rPr>
          <w:rFonts w:asciiTheme="minorHAnsi" w:hAnsiTheme="minorHAnsi" w:cstheme="minorHAnsi"/>
          <w:color w:val="auto"/>
          <w:sz w:val="22"/>
          <w:szCs w:val="22"/>
        </w:rPr>
        <w:t xml:space="preserve"> in the following order:</w:t>
      </w:r>
      <w:r w:rsidR="007B6085" w:rsidRPr="00230BE7">
        <w:rPr>
          <w:rFonts w:asciiTheme="minorHAnsi" w:hAnsiTheme="minorHAnsi" w:cstheme="minorHAnsi"/>
          <w:color w:val="auto"/>
          <w:sz w:val="22"/>
          <w:szCs w:val="22"/>
        </w:rPr>
        <w:t xml:space="preserve"> </w:t>
      </w:r>
      <w:r w:rsidR="00B83B99">
        <w:rPr>
          <w:rFonts w:asciiTheme="minorHAnsi" w:hAnsiTheme="minorHAnsi" w:cstheme="minorHAnsi"/>
          <w:color w:val="auto"/>
          <w:sz w:val="22"/>
          <w:szCs w:val="22"/>
        </w:rPr>
        <w:t>(1</w:t>
      </w:r>
      <w:r w:rsidR="00A42D27" w:rsidRPr="00230BE7">
        <w:rPr>
          <w:rFonts w:asciiTheme="minorHAnsi" w:hAnsiTheme="minorHAnsi" w:cstheme="minorHAnsi"/>
          <w:color w:val="auto"/>
          <w:sz w:val="22"/>
          <w:szCs w:val="22"/>
        </w:rPr>
        <w:t xml:space="preserve">) </w:t>
      </w:r>
      <w:r w:rsidR="007B6085" w:rsidRPr="00230BE7">
        <w:rPr>
          <w:rFonts w:asciiTheme="minorHAnsi" w:hAnsiTheme="minorHAnsi" w:cstheme="minorHAnsi"/>
          <w:color w:val="auto"/>
          <w:sz w:val="22"/>
          <w:szCs w:val="22"/>
        </w:rPr>
        <w:t>the sum of Term SOFR and the related Benc</w:t>
      </w:r>
      <w:r w:rsidR="00A42D27" w:rsidRPr="00230BE7">
        <w:rPr>
          <w:rFonts w:asciiTheme="minorHAnsi" w:hAnsiTheme="minorHAnsi" w:cstheme="minorHAnsi"/>
          <w:color w:val="auto"/>
          <w:sz w:val="22"/>
          <w:szCs w:val="22"/>
        </w:rPr>
        <w:t xml:space="preserve">hmark Replacement Adjustment; </w:t>
      </w:r>
      <w:r w:rsidR="00B83B99">
        <w:rPr>
          <w:rFonts w:asciiTheme="minorHAnsi" w:hAnsiTheme="minorHAnsi" w:cstheme="minorHAnsi"/>
          <w:color w:val="auto"/>
          <w:sz w:val="22"/>
          <w:szCs w:val="22"/>
        </w:rPr>
        <w:t>(2</w:t>
      </w:r>
      <w:r w:rsidR="00A42D27" w:rsidRPr="00230BE7">
        <w:rPr>
          <w:rFonts w:asciiTheme="minorHAnsi" w:hAnsiTheme="minorHAnsi" w:cstheme="minorHAnsi"/>
          <w:color w:val="auto"/>
          <w:sz w:val="22"/>
          <w:szCs w:val="22"/>
        </w:rPr>
        <w:t xml:space="preserve">) </w:t>
      </w:r>
      <w:r w:rsidR="007B6085" w:rsidRPr="00230BE7">
        <w:rPr>
          <w:rFonts w:asciiTheme="minorHAnsi" w:hAnsiTheme="minorHAnsi" w:cstheme="minorHAnsi"/>
          <w:color w:val="auto"/>
          <w:sz w:val="22"/>
          <w:szCs w:val="22"/>
        </w:rPr>
        <w:t xml:space="preserve">the sum of Daily Simple SOFR and the related Benchmark Replacement Adjustment </w:t>
      </w:r>
      <w:r w:rsidR="00B83B99">
        <w:rPr>
          <w:rFonts w:asciiTheme="minorHAnsi" w:hAnsiTheme="minorHAnsi" w:cstheme="minorHAnsi"/>
          <w:color w:val="auto"/>
          <w:sz w:val="22"/>
          <w:szCs w:val="22"/>
        </w:rPr>
        <w:t>or (3</w:t>
      </w:r>
      <w:r w:rsidR="00A42D27" w:rsidRPr="00230BE7">
        <w:rPr>
          <w:rFonts w:asciiTheme="minorHAnsi" w:hAnsiTheme="minorHAnsi" w:cstheme="minorHAnsi"/>
          <w:color w:val="auto"/>
          <w:sz w:val="22"/>
          <w:szCs w:val="22"/>
        </w:rPr>
        <w:t xml:space="preserve">) </w:t>
      </w:r>
      <w:r w:rsidR="00A42D27" w:rsidRPr="00230BE7">
        <w:rPr>
          <w:rFonts w:asciiTheme="minorHAnsi" w:hAnsiTheme="minorHAnsi" w:cstheme="minorHAnsi"/>
          <w:color w:val="auto"/>
          <w:spacing w:val="-3"/>
          <w:sz w:val="22"/>
          <w:szCs w:val="22"/>
        </w:rPr>
        <w:t>th</w:t>
      </w:r>
      <w:r w:rsidR="00A42D27" w:rsidRPr="00230BE7">
        <w:rPr>
          <w:rFonts w:asciiTheme="minorHAnsi" w:hAnsiTheme="minorHAnsi" w:cstheme="minorHAnsi"/>
          <w:color w:val="auto"/>
          <w:sz w:val="22"/>
          <w:szCs w:val="22"/>
        </w:rPr>
        <w:t xml:space="preserve">e </w:t>
      </w:r>
      <w:r w:rsidR="00A42D27" w:rsidRPr="00230BE7">
        <w:rPr>
          <w:rFonts w:asciiTheme="minorHAnsi" w:hAnsiTheme="minorHAnsi" w:cstheme="minorHAnsi"/>
          <w:color w:val="auto"/>
          <w:spacing w:val="2"/>
          <w:sz w:val="22"/>
          <w:szCs w:val="22"/>
        </w:rPr>
        <w:t xml:space="preserve">sum </w:t>
      </w:r>
      <w:r w:rsidR="00B83B99">
        <w:rPr>
          <w:rFonts w:asciiTheme="minorHAnsi" w:hAnsiTheme="minorHAnsi" w:cstheme="minorHAnsi"/>
          <w:color w:val="auto"/>
          <w:sz w:val="22"/>
          <w:szCs w:val="22"/>
        </w:rPr>
        <w:t>of (a</w:t>
      </w:r>
      <w:r w:rsidR="00A42D27" w:rsidRPr="00230BE7">
        <w:rPr>
          <w:rFonts w:asciiTheme="minorHAnsi" w:hAnsiTheme="minorHAnsi" w:cstheme="minorHAnsi"/>
          <w:color w:val="auto"/>
          <w:sz w:val="22"/>
          <w:szCs w:val="22"/>
        </w:rPr>
        <w:t xml:space="preserve">) the </w:t>
      </w:r>
      <w:r w:rsidR="00A42D27" w:rsidRPr="00230BE7">
        <w:rPr>
          <w:rFonts w:asciiTheme="minorHAnsi" w:hAnsiTheme="minorHAnsi" w:cstheme="minorHAnsi"/>
          <w:color w:val="auto"/>
          <w:spacing w:val="-3"/>
          <w:sz w:val="22"/>
          <w:szCs w:val="22"/>
        </w:rPr>
        <w:t xml:space="preserve">alternate </w:t>
      </w:r>
      <w:r w:rsidR="00A42D27" w:rsidRPr="00230BE7">
        <w:rPr>
          <w:rFonts w:asciiTheme="minorHAnsi" w:hAnsiTheme="minorHAnsi" w:cstheme="minorHAnsi"/>
          <w:color w:val="auto"/>
          <w:sz w:val="22"/>
          <w:szCs w:val="22"/>
        </w:rPr>
        <w:t>benchmark rate that has been selected by the Bank</w:t>
      </w:r>
      <w:r w:rsidR="00A42D27" w:rsidRPr="00230BE7">
        <w:rPr>
          <w:rFonts w:asciiTheme="minorHAnsi" w:hAnsiTheme="minorHAnsi" w:cstheme="minorHAnsi"/>
          <w:color w:val="auto"/>
          <w:spacing w:val="-3"/>
          <w:sz w:val="22"/>
          <w:szCs w:val="22"/>
        </w:rPr>
        <w:t xml:space="preserve"> </w:t>
      </w:r>
      <w:r w:rsidR="00A42D27" w:rsidRPr="00230BE7">
        <w:rPr>
          <w:rFonts w:asciiTheme="minorHAnsi" w:hAnsiTheme="minorHAnsi" w:cstheme="minorHAnsi"/>
          <w:color w:val="auto"/>
          <w:sz w:val="22"/>
          <w:szCs w:val="22"/>
        </w:rPr>
        <w:t xml:space="preserve">as the replacement for the then-current </w:t>
      </w:r>
      <w:r w:rsidR="00A42D27" w:rsidRPr="00230BE7">
        <w:rPr>
          <w:rFonts w:asciiTheme="minorHAnsi" w:hAnsiTheme="minorHAnsi" w:cstheme="minorHAnsi"/>
          <w:color w:val="auto"/>
          <w:spacing w:val="-4"/>
          <w:sz w:val="22"/>
          <w:szCs w:val="22"/>
        </w:rPr>
        <w:t xml:space="preserve">Benchmark </w:t>
      </w:r>
      <w:r w:rsidR="00A42D27" w:rsidRPr="00230BE7">
        <w:rPr>
          <w:rFonts w:asciiTheme="minorHAnsi" w:hAnsiTheme="minorHAnsi" w:cstheme="minorHAnsi"/>
          <w:color w:val="auto"/>
          <w:sz w:val="22"/>
          <w:szCs w:val="22"/>
        </w:rPr>
        <w:t xml:space="preserve">for the </w:t>
      </w:r>
      <w:r w:rsidR="00A42D27" w:rsidRPr="00230BE7">
        <w:rPr>
          <w:rFonts w:asciiTheme="minorHAnsi" w:hAnsiTheme="minorHAnsi" w:cstheme="minorHAnsi"/>
          <w:color w:val="auto"/>
          <w:spacing w:val="-5"/>
          <w:sz w:val="22"/>
          <w:szCs w:val="22"/>
        </w:rPr>
        <w:t xml:space="preserve">applicable </w:t>
      </w:r>
      <w:r w:rsidR="00A42D27" w:rsidRPr="00230BE7">
        <w:rPr>
          <w:rFonts w:asciiTheme="minorHAnsi" w:hAnsiTheme="minorHAnsi" w:cstheme="minorHAnsi"/>
          <w:color w:val="auto"/>
          <w:sz w:val="22"/>
          <w:szCs w:val="22"/>
        </w:rPr>
        <w:t xml:space="preserve">Corresponding Tenor </w:t>
      </w:r>
      <w:r w:rsidR="00A42D27" w:rsidRPr="00230BE7">
        <w:rPr>
          <w:rFonts w:asciiTheme="minorHAnsi" w:hAnsiTheme="minorHAnsi" w:cstheme="minorHAnsi"/>
          <w:color w:val="auto"/>
          <w:spacing w:val="-4"/>
          <w:sz w:val="22"/>
          <w:szCs w:val="22"/>
        </w:rPr>
        <w:t xml:space="preserve">giving </w:t>
      </w:r>
      <w:r w:rsidR="00A42D27" w:rsidRPr="00230BE7">
        <w:rPr>
          <w:rFonts w:asciiTheme="minorHAnsi" w:hAnsiTheme="minorHAnsi" w:cstheme="minorHAnsi"/>
          <w:color w:val="auto"/>
          <w:sz w:val="22"/>
          <w:szCs w:val="22"/>
        </w:rPr>
        <w:t xml:space="preserve">due consideration to </w:t>
      </w:r>
      <w:r w:rsidR="00B83B99">
        <w:rPr>
          <w:rFonts w:asciiTheme="minorHAnsi" w:hAnsiTheme="minorHAnsi" w:cstheme="minorHAnsi"/>
          <w:color w:val="auto"/>
          <w:spacing w:val="-4"/>
          <w:sz w:val="22"/>
          <w:szCs w:val="22"/>
        </w:rPr>
        <w:t>(i</w:t>
      </w:r>
      <w:r w:rsidR="00A42D27" w:rsidRPr="00230BE7">
        <w:rPr>
          <w:rFonts w:asciiTheme="minorHAnsi" w:hAnsiTheme="minorHAnsi" w:cstheme="minorHAnsi"/>
          <w:color w:val="auto"/>
          <w:spacing w:val="-4"/>
          <w:sz w:val="22"/>
          <w:szCs w:val="22"/>
        </w:rPr>
        <w:t xml:space="preserve">) </w:t>
      </w:r>
      <w:r w:rsidR="00A42D27" w:rsidRPr="00230BE7">
        <w:rPr>
          <w:rFonts w:asciiTheme="minorHAnsi" w:hAnsiTheme="minorHAnsi" w:cstheme="minorHAnsi"/>
          <w:color w:val="auto"/>
          <w:sz w:val="22"/>
          <w:szCs w:val="22"/>
        </w:rPr>
        <w:t xml:space="preserve">any selection or recommendation of a replacement benchmark rate or the mechanism for </w:t>
      </w:r>
      <w:r w:rsidR="00A42D27" w:rsidRPr="00230BE7">
        <w:rPr>
          <w:rFonts w:asciiTheme="minorHAnsi" w:hAnsiTheme="minorHAnsi" w:cstheme="minorHAnsi"/>
          <w:color w:val="auto"/>
          <w:spacing w:val="-5"/>
          <w:sz w:val="22"/>
          <w:szCs w:val="22"/>
        </w:rPr>
        <w:t xml:space="preserve">determining </w:t>
      </w:r>
      <w:r w:rsidR="00A42D27" w:rsidRPr="00230BE7">
        <w:rPr>
          <w:rFonts w:asciiTheme="minorHAnsi" w:hAnsiTheme="minorHAnsi" w:cstheme="minorHAnsi"/>
          <w:color w:val="auto"/>
          <w:spacing w:val="5"/>
          <w:sz w:val="22"/>
          <w:szCs w:val="22"/>
        </w:rPr>
        <w:t xml:space="preserve">such </w:t>
      </w:r>
      <w:r w:rsidR="00A42D27" w:rsidRPr="00230BE7">
        <w:rPr>
          <w:rFonts w:asciiTheme="minorHAnsi" w:hAnsiTheme="minorHAnsi" w:cstheme="minorHAnsi"/>
          <w:color w:val="auto"/>
          <w:sz w:val="22"/>
          <w:szCs w:val="22"/>
        </w:rPr>
        <w:t xml:space="preserve">a rate by the </w:t>
      </w:r>
      <w:r w:rsidR="00A42D27" w:rsidRPr="00230BE7">
        <w:rPr>
          <w:rFonts w:asciiTheme="minorHAnsi" w:hAnsiTheme="minorHAnsi" w:cstheme="minorHAnsi"/>
          <w:color w:val="auto"/>
          <w:spacing w:val="-5"/>
          <w:sz w:val="22"/>
          <w:szCs w:val="22"/>
        </w:rPr>
        <w:t xml:space="preserve">Relevant </w:t>
      </w:r>
      <w:r w:rsidR="00A42D27" w:rsidRPr="00230BE7">
        <w:rPr>
          <w:rFonts w:asciiTheme="minorHAnsi" w:hAnsiTheme="minorHAnsi" w:cstheme="minorHAnsi"/>
          <w:color w:val="auto"/>
          <w:sz w:val="22"/>
          <w:szCs w:val="22"/>
        </w:rPr>
        <w:t xml:space="preserve">Governmental </w:t>
      </w:r>
      <w:r w:rsidR="00A42D27" w:rsidRPr="00230BE7">
        <w:rPr>
          <w:rFonts w:asciiTheme="minorHAnsi" w:hAnsiTheme="minorHAnsi" w:cstheme="minorHAnsi"/>
          <w:color w:val="auto"/>
          <w:spacing w:val="-6"/>
          <w:sz w:val="22"/>
          <w:szCs w:val="22"/>
        </w:rPr>
        <w:t xml:space="preserve">Body </w:t>
      </w:r>
      <w:r w:rsidR="00A42D27" w:rsidRPr="00230BE7">
        <w:rPr>
          <w:rFonts w:asciiTheme="minorHAnsi" w:hAnsiTheme="minorHAnsi" w:cstheme="minorHAnsi"/>
          <w:color w:val="auto"/>
          <w:sz w:val="22"/>
          <w:szCs w:val="22"/>
        </w:rPr>
        <w:t xml:space="preserve">or </w:t>
      </w:r>
      <w:r w:rsidR="00B83B99">
        <w:rPr>
          <w:rFonts w:asciiTheme="minorHAnsi" w:hAnsiTheme="minorHAnsi" w:cstheme="minorHAnsi"/>
          <w:color w:val="auto"/>
          <w:spacing w:val="-7"/>
          <w:sz w:val="22"/>
          <w:szCs w:val="22"/>
        </w:rPr>
        <w:t>(ii</w:t>
      </w:r>
      <w:r w:rsidR="00A42D27" w:rsidRPr="00230BE7">
        <w:rPr>
          <w:rFonts w:asciiTheme="minorHAnsi" w:hAnsiTheme="minorHAnsi" w:cstheme="minorHAnsi"/>
          <w:color w:val="auto"/>
          <w:spacing w:val="-7"/>
          <w:sz w:val="22"/>
          <w:szCs w:val="22"/>
        </w:rPr>
        <w:t xml:space="preserve">) </w:t>
      </w:r>
      <w:r w:rsidR="00A42D27" w:rsidRPr="00230BE7">
        <w:rPr>
          <w:rFonts w:asciiTheme="minorHAnsi" w:hAnsiTheme="minorHAnsi" w:cstheme="minorHAnsi"/>
          <w:color w:val="auto"/>
          <w:sz w:val="22"/>
          <w:szCs w:val="22"/>
        </w:rPr>
        <w:t xml:space="preserve">any </w:t>
      </w:r>
      <w:r w:rsidR="00A42D27" w:rsidRPr="00230BE7">
        <w:rPr>
          <w:rFonts w:asciiTheme="minorHAnsi" w:hAnsiTheme="minorHAnsi" w:cstheme="minorHAnsi"/>
          <w:color w:val="auto"/>
          <w:spacing w:val="-5"/>
          <w:sz w:val="22"/>
          <w:szCs w:val="22"/>
        </w:rPr>
        <w:t xml:space="preserve">evolving </w:t>
      </w:r>
      <w:r w:rsidR="00A42D27" w:rsidRPr="00230BE7">
        <w:rPr>
          <w:rFonts w:asciiTheme="minorHAnsi" w:hAnsiTheme="minorHAnsi" w:cstheme="minorHAnsi"/>
          <w:color w:val="auto"/>
          <w:sz w:val="22"/>
          <w:szCs w:val="22"/>
        </w:rPr>
        <w:t xml:space="preserve">or </w:t>
      </w:r>
      <w:r w:rsidR="00A42D27" w:rsidRPr="00230BE7">
        <w:rPr>
          <w:rFonts w:asciiTheme="minorHAnsi" w:hAnsiTheme="minorHAnsi" w:cstheme="minorHAnsi"/>
          <w:color w:val="auto"/>
          <w:spacing w:val="-4"/>
          <w:sz w:val="22"/>
          <w:szCs w:val="22"/>
        </w:rPr>
        <w:t xml:space="preserve">then-prevailing </w:t>
      </w:r>
      <w:r w:rsidR="00A42D27" w:rsidRPr="00230BE7">
        <w:rPr>
          <w:rFonts w:asciiTheme="minorHAnsi" w:hAnsiTheme="minorHAnsi" w:cstheme="minorHAnsi"/>
          <w:color w:val="auto"/>
          <w:sz w:val="22"/>
          <w:szCs w:val="22"/>
        </w:rPr>
        <w:t xml:space="preserve">market convention for </w:t>
      </w:r>
      <w:r w:rsidR="00A42D27" w:rsidRPr="00230BE7">
        <w:rPr>
          <w:rFonts w:asciiTheme="minorHAnsi" w:hAnsiTheme="minorHAnsi" w:cstheme="minorHAnsi"/>
          <w:color w:val="auto"/>
          <w:spacing w:val="-3"/>
          <w:sz w:val="22"/>
          <w:szCs w:val="22"/>
        </w:rPr>
        <w:t xml:space="preserve">determining </w:t>
      </w:r>
      <w:r w:rsidR="00A42D27" w:rsidRPr="00230BE7">
        <w:rPr>
          <w:rFonts w:asciiTheme="minorHAnsi" w:hAnsiTheme="minorHAnsi" w:cstheme="minorHAnsi"/>
          <w:color w:val="auto"/>
          <w:sz w:val="22"/>
          <w:szCs w:val="22"/>
        </w:rPr>
        <w:t xml:space="preserve">a benchmark rate as a replacement for the then-current Benchmark for U.S. </w:t>
      </w:r>
      <w:r w:rsidR="00A42D27" w:rsidRPr="00230BE7">
        <w:rPr>
          <w:rFonts w:asciiTheme="minorHAnsi" w:hAnsiTheme="minorHAnsi" w:cstheme="minorHAnsi"/>
          <w:color w:val="auto"/>
          <w:spacing w:val="-3"/>
          <w:sz w:val="22"/>
          <w:szCs w:val="22"/>
        </w:rPr>
        <w:t xml:space="preserve">dollar-denominated </w:t>
      </w:r>
      <w:r w:rsidR="00A42D27" w:rsidRPr="00230BE7">
        <w:rPr>
          <w:rFonts w:asciiTheme="minorHAnsi" w:hAnsiTheme="minorHAnsi" w:cstheme="minorHAnsi"/>
          <w:color w:val="auto"/>
          <w:sz w:val="22"/>
          <w:szCs w:val="22"/>
        </w:rPr>
        <w:t xml:space="preserve">syndicated or </w:t>
      </w:r>
      <w:r w:rsidR="00A42D27" w:rsidRPr="00230BE7">
        <w:rPr>
          <w:rFonts w:asciiTheme="minorHAnsi" w:hAnsiTheme="minorHAnsi" w:cstheme="minorHAnsi"/>
          <w:color w:val="auto"/>
          <w:spacing w:val="-4"/>
          <w:sz w:val="22"/>
          <w:szCs w:val="22"/>
        </w:rPr>
        <w:t xml:space="preserve">bilateral </w:t>
      </w:r>
      <w:r w:rsidR="00A42D27" w:rsidRPr="00230BE7">
        <w:rPr>
          <w:rFonts w:asciiTheme="minorHAnsi" w:hAnsiTheme="minorHAnsi" w:cstheme="minorHAnsi"/>
          <w:color w:val="auto"/>
          <w:sz w:val="22"/>
          <w:szCs w:val="22"/>
        </w:rPr>
        <w:t xml:space="preserve">credit </w:t>
      </w:r>
      <w:r w:rsidR="00A42D27" w:rsidRPr="00230BE7">
        <w:rPr>
          <w:rFonts w:asciiTheme="minorHAnsi" w:hAnsiTheme="minorHAnsi" w:cstheme="minorHAnsi"/>
          <w:color w:val="auto"/>
          <w:spacing w:val="-5"/>
          <w:sz w:val="22"/>
          <w:szCs w:val="22"/>
        </w:rPr>
        <w:t xml:space="preserve">facilities </w:t>
      </w:r>
      <w:r w:rsidR="00230BE7">
        <w:rPr>
          <w:rFonts w:asciiTheme="minorHAnsi" w:hAnsiTheme="minorHAnsi" w:cstheme="minorHAnsi"/>
          <w:color w:val="auto"/>
          <w:sz w:val="22"/>
          <w:szCs w:val="22"/>
        </w:rPr>
        <w:t xml:space="preserve">at </w:t>
      </w:r>
      <w:r w:rsidR="00A42D27" w:rsidRPr="00230BE7">
        <w:rPr>
          <w:rFonts w:asciiTheme="minorHAnsi" w:hAnsiTheme="minorHAnsi" w:cstheme="minorHAnsi"/>
          <w:color w:val="auto"/>
          <w:spacing w:val="5"/>
          <w:sz w:val="22"/>
          <w:szCs w:val="22"/>
        </w:rPr>
        <w:t xml:space="preserve">such </w:t>
      </w:r>
      <w:r w:rsidR="00A42D27" w:rsidRPr="00230BE7">
        <w:rPr>
          <w:rFonts w:asciiTheme="minorHAnsi" w:hAnsiTheme="minorHAnsi" w:cstheme="minorHAnsi"/>
          <w:color w:val="auto"/>
          <w:spacing w:val="-4"/>
          <w:sz w:val="22"/>
          <w:szCs w:val="22"/>
        </w:rPr>
        <w:t xml:space="preserve">time </w:t>
      </w:r>
      <w:r w:rsidR="00B83B99">
        <w:rPr>
          <w:rFonts w:asciiTheme="minorHAnsi" w:hAnsiTheme="minorHAnsi" w:cstheme="minorHAnsi"/>
          <w:color w:val="auto"/>
          <w:sz w:val="22"/>
          <w:szCs w:val="22"/>
        </w:rPr>
        <w:t>and (b</w:t>
      </w:r>
      <w:r w:rsidR="00A42D27" w:rsidRPr="00230BE7">
        <w:rPr>
          <w:rFonts w:asciiTheme="minorHAnsi" w:hAnsiTheme="minorHAnsi" w:cstheme="minorHAnsi"/>
          <w:color w:val="auto"/>
          <w:sz w:val="22"/>
          <w:szCs w:val="22"/>
        </w:rPr>
        <w:t xml:space="preserve">) the </w:t>
      </w:r>
      <w:r w:rsidR="00A42D27" w:rsidRPr="00230BE7">
        <w:rPr>
          <w:rFonts w:asciiTheme="minorHAnsi" w:hAnsiTheme="minorHAnsi" w:cstheme="minorHAnsi"/>
          <w:color w:val="auto"/>
          <w:spacing w:val="-3"/>
          <w:sz w:val="22"/>
          <w:szCs w:val="22"/>
        </w:rPr>
        <w:t xml:space="preserve">related </w:t>
      </w:r>
      <w:r w:rsidR="00A42D27" w:rsidRPr="00230BE7">
        <w:rPr>
          <w:rFonts w:asciiTheme="minorHAnsi" w:hAnsiTheme="minorHAnsi" w:cstheme="minorHAnsi"/>
          <w:color w:val="auto"/>
          <w:sz w:val="22"/>
          <w:szCs w:val="22"/>
        </w:rPr>
        <w:t xml:space="preserve">Benchmark </w:t>
      </w:r>
      <w:r w:rsidR="00A42D27" w:rsidRPr="00230BE7">
        <w:rPr>
          <w:rFonts w:asciiTheme="minorHAnsi" w:hAnsiTheme="minorHAnsi" w:cstheme="minorHAnsi"/>
          <w:color w:val="auto"/>
          <w:spacing w:val="-3"/>
          <w:sz w:val="22"/>
          <w:szCs w:val="22"/>
        </w:rPr>
        <w:t>Replacement</w:t>
      </w:r>
      <w:r w:rsidR="00A42D27" w:rsidRPr="00230BE7">
        <w:rPr>
          <w:rFonts w:asciiTheme="minorHAnsi" w:hAnsiTheme="minorHAnsi" w:cstheme="minorHAnsi"/>
          <w:color w:val="auto"/>
          <w:spacing w:val="1"/>
          <w:sz w:val="22"/>
          <w:szCs w:val="22"/>
        </w:rPr>
        <w:t xml:space="preserve"> </w:t>
      </w:r>
      <w:r w:rsidR="00230BE7">
        <w:rPr>
          <w:rFonts w:asciiTheme="minorHAnsi" w:hAnsiTheme="minorHAnsi" w:cstheme="minorHAnsi"/>
          <w:color w:val="auto"/>
          <w:spacing w:val="-3"/>
          <w:sz w:val="22"/>
          <w:szCs w:val="22"/>
        </w:rPr>
        <w:t xml:space="preserve">Adjustment. </w:t>
      </w:r>
    </w:p>
    <w:p w14:paraId="2991EBB6" w14:textId="420713D1" w:rsidR="00CD2B35" w:rsidRPr="00CD2B35" w:rsidRDefault="00CD2B35" w:rsidP="00CD2B35">
      <w:pPr>
        <w:pStyle w:val="ListParagraph"/>
        <w:numPr>
          <w:ilvl w:val="0"/>
          <w:numId w:val="22"/>
        </w:numPr>
        <w:jc w:val="both"/>
        <w:rPr>
          <w:rFonts w:asciiTheme="minorHAnsi" w:hAnsiTheme="minorHAnsi" w:cstheme="minorHAnsi"/>
          <w:color w:val="auto"/>
          <w:sz w:val="22"/>
          <w:szCs w:val="22"/>
        </w:rPr>
      </w:pPr>
      <w:r w:rsidRPr="00CD2B35">
        <w:rPr>
          <w:rFonts w:asciiTheme="minorHAnsi" w:hAnsiTheme="minorHAnsi" w:cstheme="minorHAnsi"/>
          <w:color w:val="auto"/>
          <w:sz w:val="22"/>
          <w:szCs w:val="22"/>
        </w:rPr>
        <w:t>Because the Truist Addendum provides the manner for replacement of LIBOR, a</w:t>
      </w:r>
      <w:r w:rsidR="006C44A3">
        <w:rPr>
          <w:rFonts w:asciiTheme="minorHAnsi" w:hAnsiTheme="minorHAnsi" w:cstheme="minorHAnsi"/>
          <w:color w:val="auto"/>
          <w:sz w:val="22"/>
          <w:szCs w:val="22"/>
        </w:rPr>
        <w:t xml:space="preserve">n amendment </w:t>
      </w:r>
      <w:r w:rsidRPr="00CD2B35">
        <w:rPr>
          <w:rFonts w:asciiTheme="minorHAnsi" w:hAnsiTheme="minorHAnsi" w:cstheme="minorHAnsi"/>
          <w:color w:val="auto"/>
          <w:sz w:val="22"/>
          <w:szCs w:val="22"/>
        </w:rPr>
        <w:t>will not be required to implement the Benchmark Replacement.  Under the terms of the Addendum, the loan documents are deemed amended to provide that the interest rate equals the Benchmark Replacement plus the Margin (after the notice referenced above is provided to the Borrower).</w:t>
      </w:r>
    </w:p>
    <w:p w14:paraId="55254776" w14:textId="3D8EE4A0" w:rsidR="00CD2B35" w:rsidRPr="00CD2B35" w:rsidRDefault="00CD2B35" w:rsidP="00CD2B35">
      <w:pPr>
        <w:pStyle w:val="ListParagraph"/>
        <w:jc w:val="both"/>
        <w:rPr>
          <w:rFonts w:asciiTheme="minorHAnsi" w:hAnsiTheme="minorHAnsi" w:cstheme="minorHAnsi"/>
          <w:color w:val="auto"/>
          <w:sz w:val="22"/>
          <w:szCs w:val="22"/>
        </w:rPr>
      </w:pPr>
    </w:p>
    <w:p w14:paraId="5523F503" w14:textId="3280D662" w:rsidR="001A2E8C" w:rsidRDefault="00230BE7" w:rsidP="001A2E8C">
      <w:pPr>
        <w:jc w:val="both"/>
        <w:rPr>
          <w:rFonts w:asciiTheme="minorHAnsi" w:hAnsiTheme="minorHAnsi" w:cstheme="minorHAnsi"/>
          <w:b/>
          <w:color w:val="auto"/>
          <w:sz w:val="22"/>
          <w:szCs w:val="22"/>
          <w:u w:val="single"/>
        </w:rPr>
      </w:pPr>
      <w:r w:rsidRPr="00230BE7">
        <w:rPr>
          <w:rFonts w:asciiTheme="minorHAnsi" w:hAnsiTheme="minorHAnsi" w:cstheme="minorHAnsi"/>
          <w:b/>
          <w:color w:val="auto"/>
          <w:spacing w:val="-3"/>
          <w:sz w:val="22"/>
          <w:szCs w:val="22"/>
          <w:u w:val="single"/>
        </w:rPr>
        <w:t>R</w:t>
      </w:r>
      <w:r w:rsidRPr="00230BE7">
        <w:rPr>
          <w:rFonts w:asciiTheme="minorHAnsi" w:hAnsiTheme="minorHAnsi" w:cstheme="minorHAnsi"/>
          <w:b/>
          <w:color w:val="auto"/>
          <w:sz w:val="22"/>
          <w:szCs w:val="22"/>
          <w:u w:val="single"/>
        </w:rPr>
        <w:t>eplacement of LIBOR under the Truist LIBOR Addendum</w:t>
      </w:r>
    </w:p>
    <w:p w14:paraId="13AD3AA2" w14:textId="77777777" w:rsidR="00230BE7" w:rsidRPr="001A2E8C" w:rsidRDefault="00230BE7" w:rsidP="001A2E8C">
      <w:pPr>
        <w:jc w:val="both"/>
        <w:rPr>
          <w:rFonts w:asciiTheme="minorHAnsi" w:hAnsiTheme="minorHAnsi" w:cstheme="minorHAnsi"/>
          <w:color w:val="auto"/>
          <w:sz w:val="22"/>
          <w:szCs w:val="22"/>
        </w:rPr>
      </w:pPr>
    </w:p>
    <w:p w14:paraId="38EEB450" w14:textId="4E63124A" w:rsidR="00BC1064" w:rsidRDefault="001A2E8C" w:rsidP="00BC1064">
      <w:pPr>
        <w:jc w:val="both"/>
        <w:rPr>
          <w:rFonts w:asciiTheme="minorHAnsi" w:hAnsiTheme="minorHAnsi" w:cstheme="minorHAnsi"/>
          <w:color w:val="auto"/>
          <w:sz w:val="22"/>
          <w:szCs w:val="22"/>
        </w:rPr>
      </w:pPr>
      <w:r w:rsidRPr="00045C07">
        <w:rPr>
          <w:rFonts w:asciiTheme="minorHAnsi" w:hAnsiTheme="minorHAnsi" w:cstheme="minorHAnsi"/>
          <w:color w:val="auto"/>
          <w:sz w:val="22"/>
          <w:szCs w:val="22"/>
        </w:rPr>
        <w:t>Upon the occurrence of a Benchmark Transition Event (defined in the Addendum and expla</w:t>
      </w:r>
      <w:r w:rsidR="00230BE7">
        <w:rPr>
          <w:rFonts w:asciiTheme="minorHAnsi" w:hAnsiTheme="minorHAnsi" w:cstheme="minorHAnsi"/>
          <w:color w:val="auto"/>
          <w:sz w:val="22"/>
          <w:szCs w:val="22"/>
        </w:rPr>
        <w:t xml:space="preserve">ined below), </w:t>
      </w:r>
      <w:r w:rsidRPr="00045C07">
        <w:rPr>
          <w:rFonts w:asciiTheme="minorHAnsi" w:hAnsiTheme="minorHAnsi" w:cstheme="minorHAnsi"/>
          <w:color w:val="auto"/>
          <w:sz w:val="22"/>
          <w:szCs w:val="22"/>
        </w:rPr>
        <w:t>a Benchmark</w:t>
      </w:r>
      <w:r w:rsidR="00230BE7">
        <w:rPr>
          <w:rFonts w:asciiTheme="minorHAnsi" w:hAnsiTheme="minorHAnsi" w:cstheme="minorHAnsi"/>
          <w:color w:val="auto"/>
          <w:sz w:val="22"/>
          <w:szCs w:val="22"/>
        </w:rPr>
        <w:t xml:space="preserve"> Replacement will</w:t>
      </w:r>
      <w:r w:rsidRPr="00045C07">
        <w:rPr>
          <w:rFonts w:asciiTheme="minorHAnsi" w:hAnsiTheme="minorHAnsi" w:cstheme="minorHAnsi"/>
          <w:color w:val="auto"/>
          <w:sz w:val="22"/>
          <w:szCs w:val="22"/>
        </w:rPr>
        <w:t xml:space="preserve"> replace LIBOR</w:t>
      </w:r>
      <w:r w:rsidR="000B0350">
        <w:rPr>
          <w:rFonts w:asciiTheme="minorHAnsi" w:hAnsiTheme="minorHAnsi" w:cstheme="minorHAnsi"/>
          <w:color w:val="auto"/>
          <w:sz w:val="22"/>
          <w:szCs w:val="22"/>
        </w:rPr>
        <w:t xml:space="preserve"> in accordance</w:t>
      </w:r>
      <w:r w:rsidR="00230BE7">
        <w:rPr>
          <w:rFonts w:asciiTheme="minorHAnsi" w:hAnsiTheme="minorHAnsi" w:cstheme="minorHAnsi"/>
          <w:color w:val="auto"/>
          <w:sz w:val="22"/>
          <w:szCs w:val="22"/>
        </w:rPr>
        <w:t xml:space="preserve"> the above-referenced Benchmark Replacement waterfall</w:t>
      </w:r>
      <w:r w:rsidR="000B0350">
        <w:rPr>
          <w:rFonts w:asciiTheme="minorHAnsi" w:hAnsiTheme="minorHAnsi" w:cstheme="minorHAnsi"/>
          <w:color w:val="auto"/>
          <w:sz w:val="22"/>
          <w:szCs w:val="22"/>
        </w:rPr>
        <w:t xml:space="preserve">. </w:t>
      </w:r>
      <w:r w:rsidRPr="00045C07">
        <w:rPr>
          <w:rFonts w:asciiTheme="minorHAnsi" w:hAnsiTheme="minorHAnsi" w:cstheme="minorHAnsi"/>
          <w:color w:val="auto"/>
          <w:sz w:val="22"/>
          <w:szCs w:val="22"/>
        </w:rPr>
        <w:t xml:space="preserve">Truist will provide notice to the Borrower that a Benchmark Transition Event has occurred, the new Benchmark Replacement, and the date on which the interest rate will convert to the Benchmark Replacement as the new index.  Any margin/spread (“Margin”) over LIBOR under the terms of the loan will continue after the conversion.  Following the conversion, the interest rate will equal the Benchmark Replacement + the Margin.  </w:t>
      </w:r>
    </w:p>
    <w:p w14:paraId="49C172DB" w14:textId="1D602177" w:rsidR="006C44A3" w:rsidRDefault="006C44A3" w:rsidP="00BC1064">
      <w:pPr>
        <w:jc w:val="both"/>
        <w:rPr>
          <w:rFonts w:asciiTheme="minorHAnsi" w:hAnsiTheme="minorHAnsi" w:cstheme="minorHAnsi"/>
          <w:color w:val="auto"/>
          <w:sz w:val="22"/>
          <w:szCs w:val="22"/>
        </w:rPr>
      </w:pPr>
    </w:p>
    <w:p w14:paraId="0BF086E9" w14:textId="2574405C" w:rsidR="006C44A3" w:rsidRDefault="006C44A3" w:rsidP="00BC1064">
      <w:pPr>
        <w:jc w:val="both"/>
        <w:rPr>
          <w:rFonts w:asciiTheme="minorHAnsi" w:hAnsiTheme="minorHAnsi" w:cstheme="minorHAnsi"/>
          <w:color w:val="auto"/>
          <w:sz w:val="22"/>
          <w:szCs w:val="22"/>
        </w:rPr>
      </w:pPr>
    </w:p>
    <w:p w14:paraId="77D5C73C" w14:textId="5F494361" w:rsidR="006C44A3" w:rsidRDefault="006C44A3" w:rsidP="00BC1064">
      <w:pPr>
        <w:jc w:val="both"/>
        <w:rPr>
          <w:rFonts w:asciiTheme="minorHAnsi" w:hAnsiTheme="minorHAnsi" w:cstheme="minorHAnsi"/>
          <w:color w:val="auto"/>
          <w:sz w:val="22"/>
          <w:szCs w:val="22"/>
        </w:rPr>
      </w:pPr>
    </w:p>
    <w:p w14:paraId="18AAC060" w14:textId="69A2D812" w:rsidR="006C44A3" w:rsidRDefault="006C44A3" w:rsidP="00BC1064">
      <w:pPr>
        <w:jc w:val="both"/>
        <w:rPr>
          <w:rFonts w:asciiTheme="minorHAnsi" w:hAnsiTheme="minorHAnsi" w:cstheme="minorHAnsi"/>
          <w:color w:val="auto"/>
          <w:sz w:val="22"/>
          <w:szCs w:val="22"/>
        </w:rPr>
      </w:pPr>
    </w:p>
    <w:p w14:paraId="27482965" w14:textId="77777777" w:rsidR="006C44A3" w:rsidRDefault="006C44A3" w:rsidP="00BC1064">
      <w:pPr>
        <w:jc w:val="both"/>
        <w:rPr>
          <w:rFonts w:asciiTheme="minorHAnsi" w:hAnsiTheme="minorHAnsi" w:cstheme="minorHAnsi"/>
          <w:color w:val="auto"/>
          <w:sz w:val="22"/>
          <w:szCs w:val="22"/>
        </w:rPr>
      </w:pPr>
    </w:p>
    <w:p w14:paraId="00A8B342" w14:textId="77777777" w:rsidR="006C44A3" w:rsidRDefault="006C44A3" w:rsidP="00045C07">
      <w:pPr>
        <w:jc w:val="both"/>
        <w:rPr>
          <w:rFonts w:asciiTheme="minorHAnsi" w:hAnsiTheme="minorHAnsi" w:cstheme="minorHAnsi"/>
          <w:color w:val="auto"/>
          <w:sz w:val="22"/>
          <w:szCs w:val="22"/>
        </w:rPr>
      </w:pPr>
    </w:p>
    <w:p w14:paraId="3C3A6125" w14:textId="77777777" w:rsidR="006C44A3" w:rsidRDefault="00BC1064" w:rsidP="00045C07">
      <w:pPr>
        <w:jc w:val="both"/>
        <w:rPr>
          <w:rFonts w:asciiTheme="minorHAnsi" w:hAnsiTheme="minorHAnsi" w:cstheme="minorHAnsi"/>
          <w:color w:val="auto"/>
          <w:sz w:val="22"/>
          <w:szCs w:val="22"/>
        </w:rPr>
      </w:pPr>
      <w:r w:rsidRPr="00045C07">
        <w:rPr>
          <w:rFonts w:asciiTheme="minorHAnsi" w:hAnsiTheme="minorHAnsi" w:cstheme="minorHAnsi"/>
          <w:color w:val="auto"/>
          <w:sz w:val="22"/>
          <w:szCs w:val="22"/>
        </w:rPr>
        <w:t>A Benchmark Transition Event triggers the replacement of LIBOR.  In general te</w:t>
      </w:r>
      <w:r w:rsidR="00B91BA3">
        <w:rPr>
          <w:rFonts w:asciiTheme="minorHAnsi" w:hAnsiTheme="minorHAnsi" w:cstheme="minorHAnsi"/>
          <w:color w:val="auto"/>
          <w:sz w:val="22"/>
          <w:szCs w:val="22"/>
        </w:rPr>
        <w:t>rms, for a Benchmark Transition</w:t>
      </w:r>
      <w:r w:rsidR="006C44A3">
        <w:rPr>
          <w:rFonts w:asciiTheme="minorHAnsi" w:hAnsiTheme="minorHAnsi" w:cstheme="minorHAnsi"/>
          <w:color w:val="auto"/>
          <w:sz w:val="22"/>
          <w:szCs w:val="22"/>
        </w:rPr>
        <w:t xml:space="preserve"> </w:t>
      </w:r>
      <w:r w:rsidRPr="00045C07">
        <w:rPr>
          <w:rFonts w:asciiTheme="minorHAnsi" w:hAnsiTheme="minorHAnsi" w:cstheme="minorHAnsi"/>
          <w:color w:val="auto"/>
          <w:sz w:val="22"/>
          <w:szCs w:val="22"/>
        </w:rPr>
        <w:t xml:space="preserve">Event to occur a governmental type entity must announce that LIBOR is no longer available or representative of </w:t>
      </w:r>
    </w:p>
    <w:p w14:paraId="15D61582" w14:textId="02FA10CC" w:rsidR="00BC1064" w:rsidRDefault="00BC1064" w:rsidP="00045C07">
      <w:pPr>
        <w:jc w:val="both"/>
        <w:rPr>
          <w:rFonts w:asciiTheme="minorHAnsi" w:hAnsiTheme="minorHAnsi" w:cstheme="minorHAnsi"/>
          <w:color w:val="auto"/>
          <w:sz w:val="22"/>
          <w:szCs w:val="22"/>
        </w:rPr>
      </w:pPr>
      <w:r w:rsidRPr="00045C07">
        <w:rPr>
          <w:rFonts w:asciiTheme="minorHAnsi" w:hAnsiTheme="minorHAnsi" w:cstheme="minorHAnsi"/>
          <w:color w:val="auto"/>
          <w:sz w:val="22"/>
          <w:szCs w:val="22"/>
        </w:rPr>
        <w:t>rates.  Specifically, the actions that constitute Benchmark Transition Events are: (1) the administrator of LIBOR issues a public statement announcing that it has or will cease to provide LIBOR, and there is no successor administrator; (2) the regulator with authority over the administrator of LIBOR issues a public statement announcing that the administrator has or will cease to provide LIBOR, and there is no successor administrator; or (3) the regulator with authority over the administrator of LIBOR announces that LIBOR is no longer representative</w:t>
      </w:r>
      <w:r>
        <w:rPr>
          <w:rFonts w:asciiTheme="minorHAnsi" w:hAnsiTheme="minorHAnsi" w:cstheme="minorHAnsi"/>
          <w:color w:val="auto"/>
          <w:sz w:val="22"/>
          <w:szCs w:val="22"/>
        </w:rPr>
        <w:t>.</w:t>
      </w:r>
    </w:p>
    <w:p w14:paraId="0B2B2460" w14:textId="063A724C" w:rsidR="00BC1064" w:rsidRDefault="00BC1064" w:rsidP="00045C07">
      <w:pPr>
        <w:jc w:val="both"/>
        <w:rPr>
          <w:rFonts w:asciiTheme="minorHAnsi" w:hAnsiTheme="minorHAnsi" w:cstheme="minorHAnsi"/>
          <w:color w:val="auto"/>
          <w:sz w:val="22"/>
          <w:szCs w:val="22"/>
        </w:rPr>
      </w:pPr>
    </w:p>
    <w:p w14:paraId="7E7C3963" w14:textId="66FBF1C0" w:rsidR="001A2E8C" w:rsidRPr="00CD2B35" w:rsidRDefault="001A2E8C" w:rsidP="001A2E8C">
      <w:pPr>
        <w:jc w:val="both"/>
        <w:rPr>
          <w:rFonts w:asciiTheme="minorHAnsi" w:hAnsiTheme="minorHAnsi" w:cstheme="minorHAnsi"/>
          <w:color w:val="auto"/>
          <w:sz w:val="22"/>
          <w:szCs w:val="22"/>
        </w:rPr>
      </w:pPr>
      <w:r w:rsidRPr="001A2E8C">
        <w:rPr>
          <w:rFonts w:asciiTheme="minorHAnsi" w:hAnsiTheme="minorHAnsi" w:cstheme="minorHAnsi"/>
          <w:b/>
          <w:color w:val="auto"/>
          <w:sz w:val="22"/>
          <w:szCs w:val="22"/>
          <w:u w:val="single"/>
        </w:rPr>
        <w:t>Replacement of LIBOR under the Truist Addendum – SWAP Loans</w:t>
      </w:r>
    </w:p>
    <w:p w14:paraId="60BF9C76" w14:textId="77777777" w:rsidR="001A2E8C" w:rsidRPr="001A2E8C" w:rsidRDefault="001A2E8C" w:rsidP="001A2E8C">
      <w:pPr>
        <w:jc w:val="both"/>
        <w:rPr>
          <w:rFonts w:asciiTheme="minorHAnsi" w:hAnsiTheme="minorHAnsi" w:cstheme="minorHAnsi"/>
          <w:color w:val="auto"/>
          <w:sz w:val="22"/>
          <w:szCs w:val="22"/>
        </w:rPr>
      </w:pPr>
    </w:p>
    <w:p w14:paraId="25F8A2AC" w14:textId="1DEA945D" w:rsidR="00731CAC" w:rsidRDefault="001A2E8C" w:rsidP="00731CAC">
      <w:pPr>
        <w:jc w:val="both"/>
        <w:rPr>
          <w:rFonts w:asciiTheme="minorHAnsi" w:hAnsiTheme="minorHAnsi" w:cstheme="minorHAnsi"/>
          <w:color w:val="auto"/>
          <w:sz w:val="22"/>
          <w:szCs w:val="22"/>
        </w:rPr>
      </w:pPr>
      <w:r w:rsidRPr="001A2E8C">
        <w:rPr>
          <w:rFonts w:asciiTheme="minorHAnsi" w:hAnsiTheme="minorHAnsi" w:cstheme="minorHAnsi"/>
          <w:color w:val="auto"/>
          <w:sz w:val="22"/>
          <w:szCs w:val="22"/>
        </w:rPr>
        <w:t xml:space="preserve">If the loan </w:t>
      </w:r>
      <w:r w:rsidR="00C45E74">
        <w:rPr>
          <w:rFonts w:asciiTheme="minorHAnsi" w:hAnsiTheme="minorHAnsi" w:cstheme="minorHAnsi"/>
          <w:color w:val="auto"/>
          <w:sz w:val="22"/>
          <w:szCs w:val="22"/>
        </w:rPr>
        <w:t xml:space="preserve">is tied to </w:t>
      </w:r>
      <w:r w:rsidRPr="001A2E8C">
        <w:rPr>
          <w:rFonts w:asciiTheme="minorHAnsi" w:hAnsiTheme="minorHAnsi" w:cstheme="minorHAnsi"/>
          <w:color w:val="auto"/>
          <w:sz w:val="22"/>
          <w:szCs w:val="22"/>
        </w:rPr>
        <w:t>a</w:t>
      </w:r>
      <w:r w:rsidR="00C24C14">
        <w:rPr>
          <w:rFonts w:asciiTheme="minorHAnsi" w:hAnsiTheme="minorHAnsi" w:cstheme="minorHAnsi"/>
          <w:color w:val="auto"/>
          <w:sz w:val="22"/>
          <w:szCs w:val="22"/>
        </w:rPr>
        <w:t>n interest rate swap</w:t>
      </w:r>
      <w:r w:rsidRPr="001A2E8C">
        <w:rPr>
          <w:rFonts w:asciiTheme="minorHAnsi" w:hAnsiTheme="minorHAnsi" w:cstheme="minorHAnsi"/>
          <w:color w:val="auto"/>
          <w:sz w:val="22"/>
          <w:szCs w:val="22"/>
        </w:rPr>
        <w:t xml:space="preserve">, the Addendum contains </w:t>
      </w:r>
      <w:r w:rsidR="00B83B99">
        <w:rPr>
          <w:rFonts w:asciiTheme="minorHAnsi" w:hAnsiTheme="minorHAnsi" w:cstheme="minorHAnsi"/>
          <w:color w:val="auto"/>
          <w:sz w:val="22"/>
          <w:szCs w:val="22"/>
        </w:rPr>
        <w:t xml:space="preserve">certain </w:t>
      </w:r>
      <w:r w:rsidRPr="001A2E8C">
        <w:rPr>
          <w:rFonts w:asciiTheme="minorHAnsi" w:hAnsiTheme="minorHAnsi" w:cstheme="minorHAnsi"/>
          <w:color w:val="auto"/>
          <w:sz w:val="22"/>
          <w:szCs w:val="22"/>
        </w:rPr>
        <w:t>provisions that only apply to these loans.</w:t>
      </w:r>
      <w:r w:rsidR="00C45E74">
        <w:rPr>
          <w:rFonts w:asciiTheme="minorHAnsi" w:hAnsiTheme="minorHAnsi" w:cstheme="minorHAnsi"/>
          <w:color w:val="auto"/>
          <w:sz w:val="22"/>
          <w:szCs w:val="22"/>
        </w:rPr>
        <w:t xml:space="preserve">  For </w:t>
      </w:r>
      <w:r w:rsidRPr="001A2E8C">
        <w:rPr>
          <w:rFonts w:asciiTheme="minorHAnsi" w:hAnsiTheme="minorHAnsi" w:cstheme="minorHAnsi"/>
          <w:color w:val="auto"/>
          <w:sz w:val="22"/>
          <w:szCs w:val="22"/>
        </w:rPr>
        <w:t>SWAP loans, the timing and replacement rate for LIBOR under the Note will align with and follow the replacement of LIBOR under the related SWAP documentation and the 2006 ISDA Definitions (as opposed to those in the standard bilateral loan documents referenced above).</w:t>
      </w:r>
      <w:r w:rsidR="00731CAC">
        <w:rPr>
          <w:rFonts w:asciiTheme="minorHAnsi" w:hAnsiTheme="minorHAnsi" w:cstheme="minorHAnsi"/>
          <w:color w:val="auto"/>
          <w:sz w:val="22"/>
          <w:szCs w:val="22"/>
        </w:rPr>
        <w:t xml:space="preserve"> </w:t>
      </w:r>
      <w:r w:rsidRPr="001A2E8C">
        <w:rPr>
          <w:rFonts w:asciiTheme="minorHAnsi" w:hAnsiTheme="minorHAnsi" w:cstheme="minorHAnsi"/>
          <w:color w:val="auto"/>
          <w:sz w:val="22"/>
          <w:szCs w:val="22"/>
        </w:rPr>
        <w:t>On the effective date established pursuant to the 2006 ISDA Definitions for the replacement of LIBOR in derivative transactions (the Benchmark Replacement Date), the loan documents are deemed amended to replace LIBOR with the replacement index and spread adjustment for LIBOR as determined under the 2006 ISDA Definitions (Benchmark Replacement).  Following replacement, the Interest Rate will equal Benchmark Replacement plus the Margin set forth in the Note.  This methodology of replacement is designed to ensure that the swap continues to hedge the interest rate risk associated with the loan following replacement in the same manner as it did pr</w:t>
      </w:r>
      <w:r w:rsidR="00B83B99">
        <w:rPr>
          <w:rFonts w:asciiTheme="minorHAnsi" w:hAnsiTheme="minorHAnsi" w:cstheme="minorHAnsi"/>
          <w:color w:val="auto"/>
          <w:sz w:val="22"/>
          <w:szCs w:val="22"/>
        </w:rPr>
        <w:t>ior to replacement.</w:t>
      </w:r>
    </w:p>
    <w:p w14:paraId="4B4A7D4A" w14:textId="77777777" w:rsidR="006C44A3" w:rsidRPr="00731CAC" w:rsidRDefault="006C44A3" w:rsidP="00731CAC">
      <w:pPr>
        <w:jc w:val="both"/>
        <w:rPr>
          <w:rFonts w:asciiTheme="minorHAnsi" w:hAnsiTheme="minorHAnsi" w:cstheme="minorHAnsi"/>
          <w:color w:val="auto"/>
          <w:sz w:val="22"/>
          <w:szCs w:val="22"/>
        </w:rPr>
      </w:pPr>
    </w:p>
    <w:p w14:paraId="7319C118" w14:textId="643E9859" w:rsidR="00B91BA3" w:rsidRDefault="00972989" w:rsidP="00972989">
      <w:pPr>
        <w:spacing w:after="80"/>
        <w:rPr>
          <w:rFonts w:asciiTheme="minorHAnsi" w:eastAsiaTheme="minorHAnsi" w:hAnsiTheme="minorHAnsi" w:cstheme="minorBidi"/>
          <w:color w:val="auto"/>
          <w:sz w:val="22"/>
          <w:szCs w:val="22"/>
        </w:rPr>
      </w:pPr>
      <w:r w:rsidRPr="00972989">
        <w:rPr>
          <w:rFonts w:asciiTheme="minorHAnsi" w:eastAsiaTheme="minorEastAsia" w:hAnsiTheme="minorHAnsi" w:cstheme="minorHAnsi"/>
          <w:color w:val="auto"/>
          <w:kern w:val="24"/>
          <w:sz w:val="22"/>
          <w:szCs w:val="22"/>
        </w:rPr>
        <w:t>To promote consistency in Truist Bank’s commercial loan documentation, plea</w:t>
      </w:r>
      <w:r>
        <w:rPr>
          <w:rFonts w:asciiTheme="minorHAnsi" w:eastAsiaTheme="minorEastAsia" w:hAnsiTheme="minorHAnsi" w:cstheme="minorHAnsi"/>
          <w:color w:val="auto"/>
          <w:kern w:val="24"/>
          <w:sz w:val="22"/>
          <w:szCs w:val="22"/>
        </w:rPr>
        <w:t xml:space="preserve">se do not agree to any material </w:t>
      </w:r>
      <w:r w:rsidRPr="00972989">
        <w:rPr>
          <w:rFonts w:asciiTheme="minorHAnsi" w:eastAsiaTheme="minorEastAsia" w:hAnsiTheme="minorHAnsi" w:cstheme="minorHAnsi"/>
          <w:color w:val="auto"/>
          <w:kern w:val="24"/>
          <w:sz w:val="22"/>
          <w:szCs w:val="22"/>
        </w:rPr>
        <w:t xml:space="preserve">amendments to the new LIBOR Addenda </w:t>
      </w:r>
      <w:r>
        <w:rPr>
          <w:rFonts w:asciiTheme="minorHAnsi" w:eastAsiaTheme="minorEastAsia" w:hAnsiTheme="minorHAnsi" w:cstheme="minorHAnsi"/>
          <w:color w:val="auto"/>
          <w:kern w:val="24"/>
          <w:sz w:val="22"/>
          <w:szCs w:val="22"/>
        </w:rPr>
        <w:t xml:space="preserve">forms </w:t>
      </w:r>
      <w:r w:rsidRPr="00972989">
        <w:rPr>
          <w:rFonts w:asciiTheme="minorHAnsi" w:eastAsiaTheme="minorEastAsia" w:hAnsiTheme="minorHAnsi" w:cstheme="minorHAnsi"/>
          <w:color w:val="auto"/>
          <w:kern w:val="24"/>
          <w:sz w:val="22"/>
          <w:szCs w:val="22"/>
        </w:rPr>
        <w:t xml:space="preserve">without first discussing with Truist Bank internal counsel (as identified below). Please note that the LIBOR Addenda on this site are only applicable to commercial loan transactions originated by Truist Bank’s </w:t>
      </w:r>
      <w:r w:rsidR="00392428">
        <w:rPr>
          <w:rFonts w:asciiTheme="minorHAnsi" w:eastAsiaTheme="minorEastAsia" w:hAnsiTheme="minorHAnsi" w:cstheme="minorHAnsi"/>
          <w:color w:val="auto"/>
          <w:kern w:val="24"/>
          <w:sz w:val="22"/>
          <w:szCs w:val="22"/>
        </w:rPr>
        <w:t xml:space="preserve">Commercial </w:t>
      </w:r>
      <w:r w:rsidRPr="00972989">
        <w:rPr>
          <w:rFonts w:asciiTheme="minorHAnsi" w:eastAsiaTheme="minorEastAsia" w:hAnsiTheme="minorHAnsi" w:cstheme="minorHAnsi"/>
          <w:color w:val="auto"/>
          <w:kern w:val="24"/>
          <w:sz w:val="22"/>
          <w:szCs w:val="22"/>
        </w:rPr>
        <w:t xml:space="preserve">Community Bank line of business and </w:t>
      </w:r>
      <w:r>
        <w:rPr>
          <w:rFonts w:asciiTheme="minorHAnsi" w:eastAsiaTheme="minorEastAsia" w:hAnsiTheme="minorHAnsi" w:cstheme="minorHAnsi"/>
          <w:color w:val="auto"/>
          <w:kern w:val="24"/>
          <w:sz w:val="22"/>
          <w:szCs w:val="22"/>
        </w:rPr>
        <w:t>Private Wealth Management line of business. These forms should not be used in documenting</w:t>
      </w:r>
      <w:r w:rsidRPr="00972989">
        <w:rPr>
          <w:rFonts w:asciiTheme="minorHAnsi" w:eastAsiaTheme="minorEastAsia" w:hAnsiTheme="minorHAnsi" w:cstheme="minorHAnsi"/>
          <w:color w:val="auto"/>
          <w:kern w:val="24"/>
          <w:sz w:val="22"/>
          <w:szCs w:val="22"/>
        </w:rPr>
        <w:t xml:space="preserve"> loans originated by Truist Bank’s </w:t>
      </w:r>
      <w:r w:rsidR="00731CAC">
        <w:rPr>
          <w:rFonts w:asciiTheme="minorHAnsi" w:eastAsiaTheme="minorEastAsia" w:hAnsiTheme="minorHAnsi" w:cstheme="minorHAnsi"/>
          <w:color w:val="auto"/>
          <w:kern w:val="24"/>
          <w:sz w:val="22"/>
          <w:szCs w:val="22"/>
        </w:rPr>
        <w:t xml:space="preserve">Corporate and Investment Group </w:t>
      </w:r>
      <w:r w:rsidR="00731CAC">
        <w:rPr>
          <w:rFonts w:asciiTheme="minorHAnsi" w:eastAsiaTheme="minorHAnsi" w:hAnsiTheme="minorHAnsi" w:cstheme="minorBidi"/>
          <w:color w:val="auto"/>
          <w:sz w:val="22"/>
          <w:szCs w:val="22"/>
        </w:rPr>
        <w:t xml:space="preserve">or loans originated by any </w:t>
      </w:r>
      <w:r w:rsidRPr="00972989">
        <w:rPr>
          <w:rFonts w:asciiTheme="minorHAnsi" w:eastAsiaTheme="minorHAnsi" w:hAnsiTheme="minorHAnsi" w:cstheme="minorBidi"/>
          <w:color w:val="auto"/>
          <w:sz w:val="22"/>
          <w:szCs w:val="22"/>
        </w:rPr>
        <w:t xml:space="preserve">bank subsidiary or affiliate. In addition, please note that the </w:t>
      </w:r>
      <w:r>
        <w:rPr>
          <w:rFonts w:asciiTheme="minorHAnsi" w:eastAsiaTheme="minorHAnsi" w:hAnsiTheme="minorHAnsi" w:cstheme="minorBidi"/>
          <w:color w:val="auto"/>
          <w:sz w:val="22"/>
          <w:szCs w:val="22"/>
        </w:rPr>
        <w:t xml:space="preserve">new </w:t>
      </w:r>
      <w:r w:rsidRPr="00972989">
        <w:rPr>
          <w:rFonts w:asciiTheme="minorHAnsi" w:eastAsiaTheme="minorHAnsi" w:hAnsiTheme="minorHAnsi" w:cstheme="minorBidi"/>
          <w:color w:val="auto"/>
          <w:sz w:val="22"/>
          <w:szCs w:val="22"/>
        </w:rPr>
        <w:t xml:space="preserve">LIBOR addenda are </w:t>
      </w:r>
      <w:r>
        <w:rPr>
          <w:rFonts w:asciiTheme="minorHAnsi" w:eastAsiaTheme="minorHAnsi" w:hAnsiTheme="minorHAnsi" w:cstheme="minorBidi"/>
          <w:color w:val="auto"/>
          <w:sz w:val="22"/>
          <w:szCs w:val="22"/>
        </w:rPr>
        <w:t xml:space="preserve">only </w:t>
      </w:r>
      <w:r w:rsidRPr="00972989">
        <w:rPr>
          <w:rFonts w:asciiTheme="minorHAnsi" w:eastAsiaTheme="minorHAnsi" w:hAnsiTheme="minorHAnsi" w:cstheme="minorBidi"/>
          <w:color w:val="auto"/>
          <w:sz w:val="22"/>
          <w:szCs w:val="22"/>
        </w:rPr>
        <w:t>intended to be utilized with the applicable Commercial Note form on this website and in connection with documenting transactions that will be booked on the heritage SunTrust Bank commercial loan system.</w:t>
      </w:r>
    </w:p>
    <w:p w14:paraId="2F7513B6" w14:textId="49A2B596" w:rsidR="00B91BA3" w:rsidRPr="00B91BA3" w:rsidRDefault="00A91565" w:rsidP="00731CAC">
      <w:pPr>
        <w:spacing w:after="80"/>
        <w:rPr>
          <w:rFonts w:asciiTheme="minorHAnsi" w:hAnsiTheme="minorHAnsi" w:cstheme="minorHAnsi"/>
          <w:color w:val="auto"/>
          <w:sz w:val="22"/>
          <w:szCs w:val="22"/>
        </w:rPr>
      </w:pPr>
      <w:r>
        <w:rPr>
          <w:rFonts w:asciiTheme="minorHAnsi" w:eastAsiaTheme="minorHAnsi" w:hAnsiTheme="minorHAnsi" w:cstheme="minorBidi"/>
          <w:color w:val="auto"/>
          <w:sz w:val="22"/>
          <w:szCs w:val="22"/>
        </w:rPr>
        <w:t>Finally, please note that to the extent a loan has an interest rate floor, that floor should remain in effect while the loan is a LIBOR based loan as well as after the point in time where the Benchmark Replac</w:t>
      </w:r>
      <w:r w:rsidR="00B91BA3">
        <w:rPr>
          <w:rFonts w:asciiTheme="minorHAnsi" w:eastAsiaTheme="minorHAnsi" w:hAnsiTheme="minorHAnsi" w:cstheme="minorBidi"/>
          <w:color w:val="auto"/>
          <w:sz w:val="22"/>
          <w:szCs w:val="22"/>
        </w:rPr>
        <w:t xml:space="preserve">ement Rate </w:t>
      </w:r>
      <w:r>
        <w:rPr>
          <w:rFonts w:asciiTheme="minorHAnsi" w:eastAsiaTheme="minorHAnsi" w:hAnsiTheme="minorHAnsi" w:cstheme="minorBidi"/>
          <w:color w:val="auto"/>
          <w:sz w:val="22"/>
          <w:szCs w:val="22"/>
        </w:rPr>
        <w:t xml:space="preserve">becomes effective. The purpose of the interest rate floor is to ensure that the loan has a minimum interest yield equal to the </w:t>
      </w:r>
      <w:r w:rsidR="007302F6">
        <w:rPr>
          <w:rFonts w:asciiTheme="minorHAnsi" w:eastAsiaTheme="minorHAnsi" w:hAnsiTheme="minorHAnsi" w:cstheme="minorBidi"/>
          <w:color w:val="auto"/>
          <w:sz w:val="22"/>
          <w:szCs w:val="22"/>
        </w:rPr>
        <w:t xml:space="preserve">interest rate </w:t>
      </w:r>
      <w:r>
        <w:rPr>
          <w:rFonts w:asciiTheme="minorHAnsi" w:eastAsiaTheme="minorHAnsi" w:hAnsiTheme="minorHAnsi" w:cstheme="minorBidi"/>
          <w:color w:val="auto"/>
          <w:sz w:val="22"/>
          <w:szCs w:val="22"/>
        </w:rPr>
        <w:t xml:space="preserve">floor regardless of the index used in calculating the </w:t>
      </w:r>
      <w:r w:rsidR="007302F6">
        <w:rPr>
          <w:rFonts w:asciiTheme="minorHAnsi" w:eastAsiaTheme="minorHAnsi" w:hAnsiTheme="minorHAnsi" w:cstheme="minorBidi"/>
          <w:color w:val="auto"/>
          <w:sz w:val="22"/>
          <w:szCs w:val="22"/>
        </w:rPr>
        <w:t>interest rate.</w:t>
      </w:r>
      <w:r w:rsidR="00BE4EF6">
        <w:rPr>
          <w:rFonts w:asciiTheme="minorHAnsi" w:eastAsiaTheme="minorHAnsi" w:hAnsiTheme="minorHAnsi" w:cstheme="minorBidi"/>
          <w:color w:val="auto"/>
          <w:sz w:val="22"/>
          <w:szCs w:val="22"/>
        </w:rPr>
        <w:t xml:space="preserve"> </w:t>
      </w:r>
      <w:r w:rsidR="00BE4EF6">
        <w:rPr>
          <w:rFonts w:asciiTheme="minorHAnsi" w:hAnsiTheme="minorHAnsi" w:cstheme="minorHAnsi"/>
          <w:color w:val="auto"/>
          <w:sz w:val="22"/>
          <w:szCs w:val="22"/>
        </w:rPr>
        <w:t>If a floor rate is applicable, it should be expressed as an “all in” rate e.g. If the interest rate floor on a loan is 4% and the margin is 1%, the interest rate floor should be expressed as being 4% as opposed to any of the following: “the interest rate floor is equal to 3% plus the margin” or “the minimum index shall be 3% and the minimum interest rate sha</w:t>
      </w:r>
      <w:r w:rsidR="00C944AF">
        <w:rPr>
          <w:rFonts w:asciiTheme="minorHAnsi" w:hAnsiTheme="minorHAnsi" w:cstheme="minorHAnsi"/>
          <w:color w:val="auto"/>
          <w:sz w:val="22"/>
          <w:szCs w:val="22"/>
        </w:rPr>
        <w:t>ll be the minimum index plus 1%</w:t>
      </w:r>
      <w:r w:rsidR="00BE4EF6">
        <w:rPr>
          <w:rFonts w:asciiTheme="minorHAnsi" w:hAnsiTheme="minorHAnsi" w:cstheme="minorHAnsi"/>
          <w:color w:val="auto"/>
          <w:sz w:val="22"/>
          <w:szCs w:val="22"/>
        </w:rPr>
        <w:t>” or “the interest rate shall equal the index plus the margin provided, however, that the index shall never be less than 3%.”</w:t>
      </w:r>
    </w:p>
    <w:p w14:paraId="58329640" w14:textId="484264BC" w:rsidR="006C44A3" w:rsidRDefault="00972989" w:rsidP="00E331C8">
      <w:pPr>
        <w:spacing w:after="80"/>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Thank you for your attention to this matte</w:t>
      </w:r>
      <w:r>
        <w:rPr>
          <w:rFonts w:asciiTheme="minorHAnsi" w:eastAsiaTheme="minorHAnsi" w:hAnsiTheme="minorHAnsi" w:cstheme="minorBidi"/>
          <w:color w:val="auto"/>
          <w:sz w:val="22"/>
          <w:szCs w:val="22"/>
        </w:rPr>
        <w:t>r</w:t>
      </w:r>
      <w:r w:rsidRPr="00972989">
        <w:rPr>
          <w:rFonts w:asciiTheme="minorHAnsi" w:eastAsiaTheme="minorHAnsi" w:hAnsiTheme="minorHAnsi" w:cstheme="minorBidi"/>
          <w:color w:val="auto"/>
          <w:sz w:val="22"/>
          <w:szCs w:val="22"/>
        </w:rPr>
        <w:t>. If you have any questions or concerns relating to the information contained in this Memorandum, please reach out to one of the following members of the Commercial Lending Legal Team:</w:t>
      </w:r>
    </w:p>
    <w:p w14:paraId="273EB8C4" w14:textId="5C2B6549"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Nick Cook</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6" w:history="1">
        <w:r w:rsidRPr="00972989">
          <w:rPr>
            <w:rFonts w:asciiTheme="minorHAnsi" w:eastAsiaTheme="minorHAnsi" w:hAnsiTheme="minorHAnsi" w:cstheme="minorBidi"/>
            <w:color w:val="0000FF" w:themeColor="hyperlink"/>
            <w:sz w:val="22"/>
            <w:szCs w:val="22"/>
            <w:u w:val="single"/>
          </w:rPr>
          <w:t>Nick.Cook@SunTrust.com</w:t>
        </w:r>
      </w:hyperlink>
      <w:r w:rsidRPr="00972989">
        <w:rPr>
          <w:rFonts w:asciiTheme="minorHAnsi" w:eastAsiaTheme="minorHAnsi" w:hAnsiTheme="minorHAnsi" w:cstheme="minorBidi"/>
          <w:color w:val="auto"/>
          <w:sz w:val="22"/>
          <w:szCs w:val="22"/>
        </w:rPr>
        <w:tab/>
        <w:t>(404) 827-6722</w:t>
      </w:r>
    </w:p>
    <w:p w14:paraId="2C42F16D"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Laura Frick</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7" w:history="1">
        <w:r w:rsidRPr="00972989">
          <w:rPr>
            <w:rFonts w:asciiTheme="minorHAnsi" w:eastAsiaTheme="minorHAnsi" w:hAnsiTheme="minorHAnsi" w:cstheme="minorBidi"/>
            <w:color w:val="0000FF" w:themeColor="hyperlink"/>
            <w:sz w:val="22"/>
            <w:szCs w:val="22"/>
            <w:u w:val="single"/>
          </w:rPr>
          <w:t>Laura.Frick@SunTrust.com</w:t>
        </w:r>
      </w:hyperlink>
      <w:r w:rsidRPr="00972989">
        <w:rPr>
          <w:rFonts w:asciiTheme="minorHAnsi" w:eastAsiaTheme="minorHAnsi" w:hAnsiTheme="minorHAnsi" w:cstheme="minorBidi"/>
          <w:color w:val="auto"/>
          <w:sz w:val="22"/>
          <w:szCs w:val="22"/>
        </w:rPr>
        <w:tab/>
        <w:t>(404) 588-8594</w:t>
      </w:r>
    </w:p>
    <w:p w14:paraId="1F34A9A2"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Sameer Kapoor</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8" w:history="1">
        <w:r w:rsidRPr="00972989">
          <w:rPr>
            <w:rFonts w:asciiTheme="minorHAnsi" w:eastAsiaTheme="minorHAnsi" w:hAnsiTheme="minorHAnsi" w:cstheme="minorBidi"/>
            <w:color w:val="0000FF" w:themeColor="hyperlink"/>
            <w:sz w:val="22"/>
            <w:szCs w:val="22"/>
            <w:u w:val="single"/>
          </w:rPr>
          <w:t>SameerKapoor@SunTrust.com</w:t>
        </w:r>
      </w:hyperlink>
      <w:r w:rsidRPr="00972989">
        <w:rPr>
          <w:rFonts w:asciiTheme="minorHAnsi" w:eastAsiaTheme="minorHAnsi" w:hAnsiTheme="minorHAnsi" w:cstheme="minorBidi"/>
          <w:color w:val="auto"/>
          <w:sz w:val="22"/>
          <w:szCs w:val="22"/>
        </w:rPr>
        <w:tab/>
        <w:t>(404) 813-2930</w:t>
      </w:r>
    </w:p>
    <w:p w14:paraId="425C66D2"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Marc Bearden</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9" w:history="1">
        <w:r w:rsidRPr="00972989">
          <w:rPr>
            <w:rFonts w:asciiTheme="minorHAnsi" w:eastAsiaTheme="minorHAnsi" w:hAnsiTheme="minorHAnsi" w:cstheme="minorBidi"/>
            <w:color w:val="0000FF" w:themeColor="hyperlink"/>
            <w:sz w:val="22"/>
            <w:szCs w:val="22"/>
            <w:u w:val="single"/>
          </w:rPr>
          <w:t>Marc.Bearden@SunTrust.com</w:t>
        </w:r>
      </w:hyperlink>
      <w:r w:rsidRPr="00972989">
        <w:rPr>
          <w:rFonts w:asciiTheme="minorHAnsi" w:eastAsiaTheme="minorHAnsi" w:hAnsiTheme="minorHAnsi" w:cstheme="minorBidi"/>
          <w:color w:val="auto"/>
          <w:sz w:val="22"/>
          <w:szCs w:val="22"/>
        </w:rPr>
        <w:tab/>
        <w:t>(404) 581-1491</w:t>
      </w:r>
    </w:p>
    <w:p w14:paraId="634D5C4E" w14:textId="77777777" w:rsidR="00B91BA3"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Brian Brown</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20" w:history="1">
        <w:r w:rsidRPr="00972989">
          <w:rPr>
            <w:rFonts w:asciiTheme="minorHAnsi" w:eastAsiaTheme="minorHAnsi" w:hAnsiTheme="minorHAnsi" w:cstheme="minorBidi"/>
            <w:color w:val="0000FF" w:themeColor="hyperlink"/>
            <w:sz w:val="22"/>
            <w:szCs w:val="22"/>
            <w:u w:val="single"/>
          </w:rPr>
          <w:t>Brian.R.Brown@SunTrust.com</w:t>
        </w:r>
      </w:hyperlink>
      <w:r w:rsidRPr="00972989">
        <w:rPr>
          <w:rFonts w:asciiTheme="minorHAnsi" w:eastAsiaTheme="minorHAnsi" w:hAnsiTheme="minorHAnsi" w:cstheme="minorBidi"/>
          <w:color w:val="auto"/>
          <w:sz w:val="22"/>
          <w:szCs w:val="22"/>
        </w:rPr>
        <w:tab/>
        <w:t>(404) 813-1884</w:t>
      </w:r>
    </w:p>
    <w:p w14:paraId="4AE2812C" w14:textId="77777777" w:rsidR="006C44A3" w:rsidRDefault="006C44A3" w:rsidP="006C44A3">
      <w:pPr>
        <w:spacing w:after="200" w:line="276" w:lineRule="auto"/>
        <w:rPr>
          <w:rFonts w:asciiTheme="minorHAnsi" w:eastAsiaTheme="minorHAnsi" w:hAnsiTheme="minorHAnsi" w:cstheme="minorBidi"/>
          <w:color w:val="auto"/>
          <w:sz w:val="22"/>
          <w:szCs w:val="22"/>
        </w:rPr>
      </w:pPr>
    </w:p>
    <w:p w14:paraId="19DA1206" w14:textId="77777777" w:rsidR="006C44A3" w:rsidRDefault="006C44A3" w:rsidP="006C44A3">
      <w:pPr>
        <w:spacing w:after="200" w:line="276" w:lineRule="auto"/>
        <w:rPr>
          <w:rFonts w:asciiTheme="minorHAnsi" w:eastAsiaTheme="minorHAnsi" w:hAnsiTheme="minorHAnsi" w:cstheme="minorBidi"/>
          <w:color w:val="auto"/>
          <w:sz w:val="22"/>
          <w:szCs w:val="22"/>
        </w:rPr>
      </w:pPr>
    </w:p>
    <w:p w14:paraId="2E06AD6D" w14:textId="77777777" w:rsidR="006C44A3" w:rsidRDefault="006C44A3" w:rsidP="006C44A3">
      <w:pPr>
        <w:spacing w:after="200" w:line="276" w:lineRule="auto"/>
        <w:rPr>
          <w:rFonts w:asciiTheme="minorHAnsi" w:eastAsiaTheme="minorHAnsi" w:hAnsiTheme="minorHAnsi" w:cstheme="minorBidi"/>
          <w:color w:val="auto"/>
          <w:sz w:val="22"/>
          <w:szCs w:val="22"/>
        </w:rPr>
      </w:pPr>
    </w:p>
    <w:p w14:paraId="60169336" w14:textId="5DF22873" w:rsidR="00972989" w:rsidRPr="006C44A3" w:rsidRDefault="00972989" w:rsidP="006C44A3">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 xml:space="preserve">To ensure that no one team member is overloaded, please contact Nick Cook with respect to Georgia, North Carolina, South Carolina and Virginia transactions, Laura Frick with respect to Alabama, Maryland and Tennessee transactions, Sameer Kapoor with respect to Florida transactions and any member of the team with respect to transactions in any other jurisdiction not expressly referenced. Thank you. </w:t>
      </w:r>
    </w:p>
    <w:sectPr w:rsidR="00972989" w:rsidRPr="006C44A3" w:rsidSect="000C33AC">
      <w:headerReference w:type="default" r:id="rId21"/>
      <w:footerReference w:type="default" r:id="rId22"/>
      <w:pgSz w:w="12240" w:h="15840"/>
      <w:pgMar w:top="0" w:right="1080" w:bottom="72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47212" w14:textId="77777777" w:rsidR="00ED77B0" w:rsidRDefault="00ED77B0">
      <w:r>
        <w:separator/>
      </w:r>
    </w:p>
  </w:endnote>
  <w:endnote w:type="continuationSeparator" w:id="0">
    <w:p w14:paraId="675027B9" w14:textId="77777777" w:rsidR="00ED77B0" w:rsidRDefault="00E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FA76" w14:textId="77777777" w:rsidR="00F26D64" w:rsidRDefault="00F26D64" w:rsidP="001A1D6E">
    <w:pPr>
      <w:pStyle w:val="Footer"/>
      <w:tabs>
        <w:tab w:val="clear" w:pos="8640"/>
        <w:tab w:val="right" w:pos="10710"/>
      </w:tabs>
      <w:ind w:right="-1800"/>
    </w:pPr>
  </w:p>
  <w:p w14:paraId="431F3312" w14:textId="77777777" w:rsidR="00F26D64" w:rsidRDefault="00F26D64" w:rsidP="001A1D6E">
    <w:pPr>
      <w:pStyle w:val="Footer"/>
      <w:tabs>
        <w:tab w:val="clear" w:pos="8640"/>
        <w:tab w:val="right" w:pos="10710"/>
      </w:tabs>
      <w:ind w:left="-1800" w:righ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2E9D" w14:textId="77777777" w:rsidR="00ED77B0" w:rsidRDefault="00ED77B0">
      <w:r>
        <w:separator/>
      </w:r>
    </w:p>
  </w:footnote>
  <w:footnote w:type="continuationSeparator" w:id="0">
    <w:p w14:paraId="20B20A07" w14:textId="77777777" w:rsidR="00ED77B0" w:rsidRDefault="00ED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7313" w14:textId="0FD28049" w:rsidR="00F26D64" w:rsidRDefault="00F26D64" w:rsidP="001A1D6E">
    <w:pPr>
      <w:pStyle w:val="Header"/>
      <w:tabs>
        <w:tab w:val="clear" w:pos="8640"/>
        <w:tab w:val="right" w:pos="10980"/>
      </w:tabs>
      <w:ind w:left="-1800" w:righ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48"/>
    <w:multiLevelType w:val="hybridMultilevel"/>
    <w:tmpl w:val="D08E6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13FA0"/>
    <w:multiLevelType w:val="hybridMultilevel"/>
    <w:tmpl w:val="2F543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94733"/>
    <w:multiLevelType w:val="hybridMultilevel"/>
    <w:tmpl w:val="177C6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F0513"/>
    <w:multiLevelType w:val="hybridMultilevel"/>
    <w:tmpl w:val="A5C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9A8"/>
    <w:multiLevelType w:val="hybridMultilevel"/>
    <w:tmpl w:val="211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79E"/>
    <w:multiLevelType w:val="hybridMultilevel"/>
    <w:tmpl w:val="30EC3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7431B03"/>
    <w:multiLevelType w:val="hybridMultilevel"/>
    <w:tmpl w:val="FE12C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262895"/>
    <w:multiLevelType w:val="hybridMultilevel"/>
    <w:tmpl w:val="21E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D4D"/>
    <w:multiLevelType w:val="hybridMultilevel"/>
    <w:tmpl w:val="9950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C6231"/>
    <w:multiLevelType w:val="hybridMultilevel"/>
    <w:tmpl w:val="7A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3B3D"/>
    <w:multiLevelType w:val="hybridMultilevel"/>
    <w:tmpl w:val="A1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2A84"/>
    <w:multiLevelType w:val="hybridMultilevel"/>
    <w:tmpl w:val="9CE2F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5566E3"/>
    <w:multiLevelType w:val="hybridMultilevel"/>
    <w:tmpl w:val="DDFE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7A4DAE"/>
    <w:multiLevelType w:val="hybridMultilevel"/>
    <w:tmpl w:val="BC08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63713"/>
    <w:multiLevelType w:val="hybridMultilevel"/>
    <w:tmpl w:val="411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A63F4"/>
    <w:multiLevelType w:val="hybridMultilevel"/>
    <w:tmpl w:val="868C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D57A2"/>
    <w:multiLevelType w:val="hybridMultilevel"/>
    <w:tmpl w:val="3536B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FC5F2D"/>
    <w:multiLevelType w:val="hybridMultilevel"/>
    <w:tmpl w:val="07B4D0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2D83CF3"/>
    <w:multiLevelType w:val="hybridMultilevel"/>
    <w:tmpl w:val="ED7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992FF2"/>
    <w:multiLevelType w:val="hybridMultilevel"/>
    <w:tmpl w:val="E29E88E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3"/>
  </w:num>
  <w:num w:numId="7">
    <w:abstractNumId w:val="10"/>
  </w:num>
  <w:num w:numId="8">
    <w:abstractNumId w:val="9"/>
  </w:num>
  <w:num w:numId="9">
    <w:abstractNumId w:val="17"/>
  </w:num>
  <w:num w:numId="10">
    <w:abstractNumId w:val="18"/>
  </w:num>
  <w:num w:numId="11">
    <w:abstractNumId w:val="5"/>
  </w:num>
  <w:num w:numId="12">
    <w:abstractNumId w:val="19"/>
  </w:num>
  <w:num w:numId="13">
    <w:abstractNumId w:val="8"/>
  </w:num>
  <w:num w:numId="14">
    <w:abstractNumId w:val="11"/>
  </w:num>
  <w:num w:numId="15">
    <w:abstractNumId w:val="16"/>
  </w:num>
  <w:num w:numId="16">
    <w:abstractNumId w:val="0"/>
  </w:num>
  <w:num w:numId="17">
    <w:abstractNumId w:val="6"/>
  </w:num>
  <w:num w:numId="18">
    <w:abstractNumId w:val="15"/>
  </w:num>
  <w:num w:numId="19">
    <w:abstractNumId w:val="13"/>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e0d3f40-b984-42ca-8f77-301090b6c26e"/>
  </w:docVars>
  <w:rsids>
    <w:rsidRoot w:val="00AA6A01"/>
    <w:rsid w:val="00011210"/>
    <w:rsid w:val="00045C07"/>
    <w:rsid w:val="00072663"/>
    <w:rsid w:val="000B0350"/>
    <w:rsid w:val="000C07EE"/>
    <w:rsid w:val="000C33AC"/>
    <w:rsid w:val="001021F7"/>
    <w:rsid w:val="001502EA"/>
    <w:rsid w:val="001526E3"/>
    <w:rsid w:val="00165C6F"/>
    <w:rsid w:val="00174AD5"/>
    <w:rsid w:val="0018692C"/>
    <w:rsid w:val="001A1D6E"/>
    <w:rsid w:val="001A2E8C"/>
    <w:rsid w:val="001D62CB"/>
    <w:rsid w:val="001F379C"/>
    <w:rsid w:val="00215079"/>
    <w:rsid w:val="00224713"/>
    <w:rsid w:val="00230BE7"/>
    <w:rsid w:val="00241CB4"/>
    <w:rsid w:val="002545C3"/>
    <w:rsid w:val="002A5EAC"/>
    <w:rsid w:val="00366505"/>
    <w:rsid w:val="00370CE4"/>
    <w:rsid w:val="00392428"/>
    <w:rsid w:val="003A4194"/>
    <w:rsid w:val="003B187D"/>
    <w:rsid w:val="003F4567"/>
    <w:rsid w:val="003F6E92"/>
    <w:rsid w:val="00401F2B"/>
    <w:rsid w:val="0041735B"/>
    <w:rsid w:val="00435CA6"/>
    <w:rsid w:val="00465ED0"/>
    <w:rsid w:val="004747DB"/>
    <w:rsid w:val="004916FF"/>
    <w:rsid w:val="004C36B4"/>
    <w:rsid w:val="004D28A7"/>
    <w:rsid w:val="004D5B73"/>
    <w:rsid w:val="005600CB"/>
    <w:rsid w:val="005A1668"/>
    <w:rsid w:val="005A277E"/>
    <w:rsid w:val="005A3546"/>
    <w:rsid w:val="005D7A07"/>
    <w:rsid w:val="005F3D7B"/>
    <w:rsid w:val="00612DA0"/>
    <w:rsid w:val="00622FAA"/>
    <w:rsid w:val="006263B2"/>
    <w:rsid w:val="00646D90"/>
    <w:rsid w:val="00657214"/>
    <w:rsid w:val="006C44A3"/>
    <w:rsid w:val="006F6434"/>
    <w:rsid w:val="00726C70"/>
    <w:rsid w:val="007302F6"/>
    <w:rsid w:val="00731CAC"/>
    <w:rsid w:val="00741A98"/>
    <w:rsid w:val="00741BD1"/>
    <w:rsid w:val="00743386"/>
    <w:rsid w:val="00750D76"/>
    <w:rsid w:val="00760B23"/>
    <w:rsid w:val="007A52AB"/>
    <w:rsid w:val="007B6085"/>
    <w:rsid w:val="007C4664"/>
    <w:rsid w:val="007F202D"/>
    <w:rsid w:val="007F2E66"/>
    <w:rsid w:val="007F71F1"/>
    <w:rsid w:val="00801566"/>
    <w:rsid w:val="0080614D"/>
    <w:rsid w:val="0086429B"/>
    <w:rsid w:val="008C2F0B"/>
    <w:rsid w:val="008E32BF"/>
    <w:rsid w:val="0090279A"/>
    <w:rsid w:val="00923B8C"/>
    <w:rsid w:val="00932C61"/>
    <w:rsid w:val="00942D53"/>
    <w:rsid w:val="009450A9"/>
    <w:rsid w:val="00972989"/>
    <w:rsid w:val="00994E91"/>
    <w:rsid w:val="009B1880"/>
    <w:rsid w:val="009B7366"/>
    <w:rsid w:val="00A32A5E"/>
    <w:rsid w:val="00A33243"/>
    <w:rsid w:val="00A36947"/>
    <w:rsid w:val="00A42D27"/>
    <w:rsid w:val="00A8550C"/>
    <w:rsid w:val="00A91565"/>
    <w:rsid w:val="00AA6A01"/>
    <w:rsid w:val="00AB1509"/>
    <w:rsid w:val="00AC7170"/>
    <w:rsid w:val="00AD0C44"/>
    <w:rsid w:val="00AE3240"/>
    <w:rsid w:val="00B048B6"/>
    <w:rsid w:val="00B24786"/>
    <w:rsid w:val="00B46E63"/>
    <w:rsid w:val="00B628CE"/>
    <w:rsid w:val="00B83B99"/>
    <w:rsid w:val="00B91BA3"/>
    <w:rsid w:val="00BA2690"/>
    <w:rsid w:val="00BC1064"/>
    <w:rsid w:val="00BE4EF6"/>
    <w:rsid w:val="00C10D38"/>
    <w:rsid w:val="00C24C14"/>
    <w:rsid w:val="00C26437"/>
    <w:rsid w:val="00C45E74"/>
    <w:rsid w:val="00C5174F"/>
    <w:rsid w:val="00C5318F"/>
    <w:rsid w:val="00C550FD"/>
    <w:rsid w:val="00C91F59"/>
    <w:rsid w:val="00C944AF"/>
    <w:rsid w:val="00CA23E3"/>
    <w:rsid w:val="00CB1FC5"/>
    <w:rsid w:val="00CD2B35"/>
    <w:rsid w:val="00D069EB"/>
    <w:rsid w:val="00D21D0A"/>
    <w:rsid w:val="00D87D93"/>
    <w:rsid w:val="00D9007A"/>
    <w:rsid w:val="00DA6579"/>
    <w:rsid w:val="00DE7B79"/>
    <w:rsid w:val="00DF4A00"/>
    <w:rsid w:val="00E331C8"/>
    <w:rsid w:val="00E86E7F"/>
    <w:rsid w:val="00EB1428"/>
    <w:rsid w:val="00EB29DE"/>
    <w:rsid w:val="00EC4DA3"/>
    <w:rsid w:val="00EC5137"/>
    <w:rsid w:val="00ED77B0"/>
    <w:rsid w:val="00EE3C63"/>
    <w:rsid w:val="00F2119A"/>
    <w:rsid w:val="00F24925"/>
    <w:rsid w:val="00F26D64"/>
    <w:rsid w:val="00F42903"/>
    <w:rsid w:val="00F468FE"/>
    <w:rsid w:val="00F93A3F"/>
    <w:rsid w:val="00FB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73660797"/>
  <w14:defaultImageDpi w14:val="330"/>
  <w15:docId w15:val="{43DFC836-5B8C-466D-8C4E-10D8FDD5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5B"/>
    <w:rPr>
      <w:rFonts w:ascii="Trebuchet MS" w:hAnsi="Trebuchet MS"/>
      <w:color w:val="7F7F7F"/>
      <w:szCs w:val="24"/>
    </w:rPr>
  </w:style>
  <w:style w:type="paragraph" w:styleId="Heading1">
    <w:name w:val="heading 1"/>
    <w:basedOn w:val="Normal"/>
    <w:next w:val="Normal"/>
    <w:link w:val="Heading1Char"/>
    <w:uiPriority w:val="9"/>
    <w:qFormat/>
    <w:rsid w:val="0041735B"/>
    <w:pPr>
      <w:keepNext/>
      <w:spacing w:before="240" w:after="60" w:line="276" w:lineRule="auto"/>
      <w:outlineLvl w:val="0"/>
    </w:pPr>
    <w:rPr>
      <w:b/>
      <w:bCs/>
      <w:color w:val="F58025"/>
      <w:kern w:val="32"/>
      <w:sz w:val="32"/>
      <w:szCs w:val="32"/>
    </w:rPr>
  </w:style>
  <w:style w:type="paragraph" w:styleId="Heading2">
    <w:name w:val="heading 2"/>
    <w:basedOn w:val="Normal"/>
    <w:next w:val="Normal"/>
    <w:link w:val="Heading2Char"/>
    <w:uiPriority w:val="9"/>
    <w:unhideWhenUsed/>
    <w:qFormat/>
    <w:rsid w:val="0041735B"/>
    <w:pPr>
      <w:keepNext/>
      <w:spacing w:before="240" w:after="60"/>
      <w:outlineLvl w:val="1"/>
    </w:pPr>
    <w:rPr>
      <w:rFonts w:eastAsiaTheme="majorEastAsia" w:cstheme="majorBidi"/>
      <w:b/>
      <w:bCs/>
      <w:iCs/>
      <w:color w:val="F58025"/>
      <w:sz w:val="28"/>
      <w:szCs w:val="28"/>
    </w:rPr>
  </w:style>
  <w:style w:type="paragraph" w:styleId="Heading3">
    <w:name w:val="heading 3"/>
    <w:basedOn w:val="Normal"/>
    <w:next w:val="Normal"/>
    <w:link w:val="Heading3Char"/>
    <w:uiPriority w:val="9"/>
    <w:unhideWhenUsed/>
    <w:qFormat/>
    <w:rsid w:val="00932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F6C"/>
    <w:rPr>
      <w:rFonts w:ascii="Lucida Grande" w:hAnsi="Lucida Grande"/>
      <w:sz w:val="18"/>
      <w:szCs w:val="18"/>
    </w:rPr>
  </w:style>
  <w:style w:type="paragraph" w:styleId="Header">
    <w:name w:val="header"/>
    <w:basedOn w:val="Normal"/>
    <w:rsid w:val="001D4541"/>
    <w:pPr>
      <w:tabs>
        <w:tab w:val="center" w:pos="4320"/>
        <w:tab w:val="right" w:pos="8640"/>
      </w:tabs>
    </w:pPr>
  </w:style>
  <w:style w:type="paragraph" w:styleId="Footer">
    <w:name w:val="footer"/>
    <w:basedOn w:val="Normal"/>
    <w:semiHidden/>
    <w:rsid w:val="001D4541"/>
    <w:pPr>
      <w:tabs>
        <w:tab w:val="center" w:pos="4320"/>
        <w:tab w:val="right" w:pos="8640"/>
      </w:tabs>
    </w:pPr>
  </w:style>
  <w:style w:type="character" w:customStyle="1" w:styleId="Heading1Char">
    <w:name w:val="Heading 1 Char"/>
    <w:link w:val="Heading1"/>
    <w:uiPriority w:val="9"/>
    <w:rsid w:val="0041735B"/>
    <w:rPr>
      <w:rFonts w:ascii="Trebuchet MS" w:hAnsi="Trebuchet MS"/>
      <w:b/>
      <w:bCs/>
      <w:color w:val="F58025"/>
      <w:kern w:val="32"/>
      <w:sz w:val="32"/>
      <w:szCs w:val="32"/>
    </w:rPr>
  </w:style>
  <w:style w:type="paragraph" w:customStyle="1" w:styleId="ColorfulList-Accent11">
    <w:name w:val="Colorful List - Accent 11"/>
    <w:basedOn w:val="Normal"/>
    <w:uiPriority w:val="34"/>
    <w:qFormat/>
    <w:rsid w:val="00C2643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26437"/>
    <w:rPr>
      <w:color w:val="0000FF"/>
      <w:u w:val="single"/>
    </w:rPr>
  </w:style>
  <w:style w:type="paragraph" w:styleId="TOC1">
    <w:name w:val="toc 1"/>
    <w:basedOn w:val="Normal"/>
    <w:next w:val="Normal"/>
    <w:autoRedefine/>
    <w:uiPriority w:val="39"/>
    <w:unhideWhenUsed/>
    <w:qFormat/>
    <w:rsid w:val="00C26437"/>
    <w:pPr>
      <w:tabs>
        <w:tab w:val="right" w:leader="dot" w:pos="9350"/>
      </w:tabs>
      <w:spacing w:after="200" w:line="276" w:lineRule="auto"/>
      <w:jc w:val="center"/>
    </w:pPr>
    <w:rPr>
      <w:rFonts w:eastAsia="Calibri"/>
      <w:b/>
      <w:sz w:val="22"/>
      <w:szCs w:val="22"/>
    </w:rPr>
  </w:style>
  <w:style w:type="character" w:customStyle="1" w:styleId="Heading2Char">
    <w:name w:val="Heading 2 Char"/>
    <w:basedOn w:val="DefaultParagraphFont"/>
    <w:link w:val="Heading2"/>
    <w:uiPriority w:val="9"/>
    <w:rsid w:val="0041735B"/>
    <w:rPr>
      <w:rFonts w:ascii="Trebuchet MS" w:eastAsiaTheme="majorEastAsia" w:hAnsi="Trebuchet MS" w:cstheme="majorBidi"/>
      <w:b/>
      <w:bCs/>
      <w:iCs/>
      <w:color w:val="F58025"/>
      <w:sz w:val="28"/>
      <w:szCs w:val="28"/>
    </w:rPr>
  </w:style>
  <w:style w:type="paragraph" w:styleId="NoSpacing">
    <w:name w:val="No Spacing"/>
    <w:link w:val="NoSpacingChar"/>
    <w:uiPriority w:val="1"/>
    <w:qFormat/>
    <w:rsid w:val="009B188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B1880"/>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unhideWhenUsed/>
    <w:rsid w:val="00D87D93"/>
    <w:rPr>
      <w:color w:val="808080"/>
    </w:rPr>
  </w:style>
  <w:style w:type="paragraph" w:styleId="TOCHeading">
    <w:name w:val="TOC Heading"/>
    <w:basedOn w:val="Heading1"/>
    <w:next w:val="Normal"/>
    <w:uiPriority w:val="39"/>
    <w:unhideWhenUsed/>
    <w:qFormat/>
    <w:rsid w:val="00D87D9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7D93"/>
    <w:pPr>
      <w:spacing w:after="100"/>
      <w:ind w:left="200"/>
    </w:pPr>
  </w:style>
  <w:style w:type="paragraph" w:styleId="TOC3">
    <w:name w:val="toc 3"/>
    <w:basedOn w:val="Normal"/>
    <w:next w:val="Normal"/>
    <w:autoRedefine/>
    <w:uiPriority w:val="39"/>
    <w:semiHidden/>
    <w:unhideWhenUsed/>
    <w:qFormat/>
    <w:rsid w:val="00D87D93"/>
    <w:pPr>
      <w:spacing w:after="100" w:line="276" w:lineRule="auto"/>
      <w:ind w:left="440"/>
    </w:pPr>
    <w:rPr>
      <w:rFonts w:asciiTheme="minorHAnsi" w:eastAsiaTheme="minorEastAsia" w:hAnsiTheme="minorHAnsi" w:cstheme="minorBidi"/>
      <w:color w:val="auto"/>
      <w:sz w:val="22"/>
      <w:szCs w:val="22"/>
      <w:lang w:eastAsia="ja-JP"/>
    </w:rPr>
  </w:style>
  <w:style w:type="character" w:customStyle="1" w:styleId="Heading3Char">
    <w:name w:val="Heading 3 Char"/>
    <w:basedOn w:val="DefaultParagraphFont"/>
    <w:link w:val="Heading3"/>
    <w:uiPriority w:val="9"/>
    <w:rsid w:val="00932C61"/>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F379C"/>
    <w:pPr>
      <w:ind w:left="720"/>
      <w:contextualSpacing/>
    </w:pPr>
  </w:style>
  <w:style w:type="character" w:styleId="Strong">
    <w:name w:val="Strong"/>
    <w:basedOn w:val="DefaultParagraphFont"/>
    <w:uiPriority w:val="22"/>
    <w:qFormat/>
    <w:rsid w:val="00A8550C"/>
    <w:rPr>
      <w:b/>
      <w:bCs/>
    </w:rPr>
  </w:style>
  <w:style w:type="character" w:styleId="CommentReference">
    <w:name w:val="annotation reference"/>
    <w:basedOn w:val="DefaultParagraphFont"/>
    <w:uiPriority w:val="99"/>
    <w:semiHidden/>
    <w:unhideWhenUsed/>
    <w:rsid w:val="00AB1509"/>
    <w:rPr>
      <w:sz w:val="16"/>
      <w:szCs w:val="16"/>
    </w:rPr>
  </w:style>
  <w:style w:type="paragraph" w:styleId="CommentText">
    <w:name w:val="annotation text"/>
    <w:basedOn w:val="Normal"/>
    <w:link w:val="CommentTextChar"/>
    <w:uiPriority w:val="99"/>
    <w:semiHidden/>
    <w:unhideWhenUsed/>
    <w:rsid w:val="00AB1509"/>
    <w:rPr>
      <w:szCs w:val="20"/>
    </w:rPr>
  </w:style>
  <w:style w:type="character" w:customStyle="1" w:styleId="CommentTextChar">
    <w:name w:val="Comment Text Char"/>
    <w:basedOn w:val="DefaultParagraphFont"/>
    <w:link w:val="CommentText"/>
    <w:uiPriority w:val="99"/>
    <w:semiHidden/>
    <w:rsid w:val="00AB1509"/>
    <w:rPr>
      <w:rFonts w:ascii="Trebuchet MS" w:hAnsi="Trebuchet MS"/>
      <w:color w:val="7F7F7F"/>
    </w:rPr>
  </w:style>
  <w:style w:type="paragraph" w:styleId="CommentSubject">
    <w:name w:val="annotation subject"/>
    <w:basedOn w:val="CommentText"/>
    <w:next w:val="CommentText"/>
    <w:link w:val="CommentSubjectChar"/>
    <w:uiPriority w:val="99"/>
    <w:semiHidden/>
    <w:unhideWhenUsed/>
    <w:rsid w:val="00AB1509"/>
    <w:rPr>
      <w:b/>
      <w:bCs/>
    </w:rPr>
  </w:style>
  <w:style w:type="character" w:customStyle="1" w:styleId="CommentSubjectChar">
    <w:name w:val="Comment Subject Char"/>
    <w:basedOn w:val="CommentTextChar"/>
    <w:link w:val="CommentSubject"/>
    <w:uiPriority w:val="99"/>
    <w:semiHidden/>
    <w:rsid w:val="00AB1509"/>
    <w:rPr>
      <w:rFonts w:ascii="Trebuchet MS" w:hAnsi="Trebuchet MS"/>
      <w:b/>
      <w:bCs/>
      <w:color w:val="7F7F7F"/>
    </w:rPr>
  </w:style>
  <w:style w:type="table" w:styleId="TableGrid">
    <w:name w:val="Table Grid"/>
    <w:basedOn w:val="TableNormal"/>
    <w:uiPriority w:val="39"/>
    <w:rsid w:val="00AD0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6848">
      <w:bodyDiv w:val="1"/>
      <w:marLeft w:val="0"/>
      <w:marRight w:val="0"/>
      <w:marTop w:val="0"/>
      <w:marBottom w:val="0"/>
      <w:divBdr>
        <w:top w:val="none" w:sz="0" w:space="0" w:color="auto"/>
        <w:left w:val="none" w:sz="0" w:space="0" w:color="auto"/>
        <w:bottom w:val="none" w:sz="0" w:space="0" w:color="auto"/>
        <w:right w:val="none" w:sz="0" w:space="0" w:color="auto"/>
      </w:divBdr>
    </w:div>
    <w:div w:id="1699113958">
      <w:bodyDiv w:val="1"/>
      <w:marLeft w:val="0"/>
      <w:marRight w:val="0"/>
      <w:marTop w:val="0"/>
      <w:marBottom w:val="0"/>
      <w:divBdr>
        <w:top w:val="none" w:sz="0" w:space="0" w:color="auto"/>
        <w:left w:val="none" w:sz="0" w:space="0" w:color="auto"/>
        <w:bottom w:val="none" w:sz="0" w:space="0" w:color="auto"/>
        <w:right w:val="none" w:sz="0" w:space="0" w:color="auto"/>
      </w:divBdr>
    </w:div>
    <w:div w:id="1947426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ameerKapoor@SunTrus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aura.Frick@SunTrust.com" TargetMode="External"/><Relationship Id="rId2" Type="http://schemas.openxmlformats.org/officeDocument/2006/relationships/customXml" Target="../customXml/item2.xml"/><Relationship Id="rId16" Type="http://schemas.openxmlformats.org/officeDocument/2006/relationships/hyperlink" Target="mailto:Nick.Cook@SunTrust.com" TargetMode="External"/><Relationship Id="rId20" Type="http://schemas.openxmlformats.org/officeDocument/2006/relationships/hyperlink" Target="mailto:Brian.R.Brown@SunTrus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Marc.Bearden@SunTrust.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2017-09-07T00:00:00</PublishDate>
  <Abstract/>
  <CompanyAddress/>
  <CompanyPhone/>
  <CompanyFax/>
  <CompanyEmail/>
</CoverPageProperties>
</file>

<file path=customXml/item2.xml><?xml version="1.0" encoding="utf-8"?>
<?mso-contentType ?>
<SharedContentType xmlns="Microsoft.SharePoint.Taxonomy.ContentTypeSync" SourceId="9a5c42de-abb1-489e-87df-c68c2a30c9fc" ContentTypeId="0x0101000C06B6F1EF32BB45A6AB0B6B7DBA4BB3" PreviousValue="false"/>
</file>

<file path=customXml/item3.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A9A500ED71BDAD45ACA3BD65454BBC22" ma:contentTypeVersion="8" ma:contentTypeDescription="Create a new document." ma:contentTypeScope="" ma:versionID="70b829c088869a5ebe38a7e125b6a841">
  <xsd:schema xmlns:xsd="http://www.w3.org/2001/XMLSchema" xmlns:xs="http://www.w3.org/2001/XMLSchema" xmlns:p="http://schemas.microsoft.com/office/2006/metadata/properties" xmlns:ns1="http://schemas.microsoft.com/sharepoint/v3" xmlns:ns2="8af320df-de26-4493-a698-37a7bbb49260" xmlns:ns3="46c152c9-b378-41d2-b1fd-bd14fd2b8c23" targetNamespace="http://schemas.microsoft.com/office/2006/metadata/properties" ma:root="true" ma:fieldsID="8bc935a482e5fc8a8c3a3dd36b7c0fb3" ns1:_="" ns2:_="" ns3:_="">
    <xsd:import namespace="http://schemas.microsoft.com/sharepoint/v3"/>
    <xsd:import namespace="8af320df-de26-4493-a698-37a7bbb49260"/>
    <xsd:import namespace="46c152c9-b378-41d2-b1fd-bd14fd2b8c23"/>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element ref="ns3:Domain" minOccurs="0"/>
                <xsd:element ref="ns3:Techn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4b13c2-d186-4c56-848f-687699066cf9}" ma:internalName="TaxCatchAll" ma:showField="CatchAllData" ma:web="46c152c9-b378-41d2-b1fd-bd14fd2b8c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4b13c2-d186-4c56-848f-687699066cf9}" ma:internalName="TaxCatchAllLabel" ma:readOnly="true" ma:showField="CatchAllDataLabel" ma:web="46c152c9-b378-41d2-b1fd-bd14fd2b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152c9-b378-41d2-b1fd-bd14fd2b8c23" elementFormDefault="qualified">
    <xsd:import namespace="http://schemas.microsoft.com/office/2006/documentManagement/types"/>
    <xsd:import namespace="http://schemas.microsoft.com/office/infopath/2007/PartnerControls"/>
    <xsd:element name="Domain" ma:index="15" nillable="true" ma:displayName="Domain" ma:format="Dropdown" ma:internalName="Domain">
      <xsd:simpleType>
        <xsd:restriction base="dms:Choice">
          <xsd:enumeration value="Infrastructure Operations"/>
          <xsd:enumeration value="Core Services"/>
          <xsd:enumeration value="Storage Services"/>
          <xsd:enumeration value="Network"/>
          <xsd:enumeration value="Business Intelligence"/>
          <xsd:enumeration value="Compliance"/>
          <xsd:enumeration value="Infrastructure Delivery"/>
        </xsd:restriction>
      </xsd:simpleType>
    </xsd:element>
    <xsd:element name="Technology" ma:index="16" nillable="true" ma:displayName="Technology" ma:default="Windows" ma:format="Dropdown" ma:internalName="Technology">
      <xsd:simpleType>
        <xsd:restriction base="dms:Choice">
          <xsd:enumeration value="Windows"/>
          <xsd:enumeration value="AIX"/>
          <xsd:enumeration value="Unix"/>
          <xsd:enumeration value="Linux"/>
          <xsd:enumeration value="Mainframe"/>
          <xsd:enumeration value="Disaster Recovery"/>
          <xsd:enumeration value="Network Operations"/>
          <xsd:enumeration value="Open Systems Storage"/>
          <xsd:enumeration value="Open Systems Backup &amp; Recovery"/>
          <xsd:enumeration value="Mainframe Storage &amp; Backup"/>
          <xsd:enumeration value="Patching"/>
          <xsd:enumeration value="Vulnerabilities"/>
          <xsd:enumeration value="Server Provisioning"/>
          <xsd:enumeration value="Production Engineering"/>
          <xsd:enumeration value="VMware"/>
          <xsd:enumeration value="Clo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echnology xmlns="46c152c9-b378-41d2-b1fd-bd14fd2b8c23">Windows</Technology>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Domain xmlns="46c152c9-b378-41d2-b1fd-bd14fd2b8c23" xsi:nil="true"/>
    <TaxCatchAll xmlns="8af320df-de26-4493-a698-37a7bbb49260">
      <Value>1</Value>
    </TaxCatchAll>
    <_dlc_ExpireDate xmlns="http://schemas.microsoft.com/sharepoint/v3">2019-06-15T11:34:11+00:00</_dlc_ExpireDate>
    <_dlc_ExpireDateSaved xmlns="http://schemas.microsoft.com/sharepoint/v3" xsi:nil="true"/>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1939AB-F108-4341-9A3E-4A9002BB10E3}">
  <ds:schemaRefs>
    <ds:schemaRef ds:uri="Microsoft.SharePoint.Taxonomy.ContentTypeSync"/>
  </ds:schemaRefs>
</ds:datastoreItem>
</file>

<file path=customXml/itemProps3.xml><?xml version="1.0" encoding="utf-8"?>
<ds:datastoreItem xmlns:ds="http://schemas.openxmlformats.org/officeDocument/2006/customXml" ds:itemID="{97226BC7-4236-4714-A63E-894FE5E8EE8C}">
  <ds:schemaRefs>
    <ds:schemaRef ds:uri="office.server.policy"/>
  </ds:schemaRefs>
</ds:datastoreItem>
</file>

<file path=customXml/itemProps4.xml><?xml version="1.0" encoding="utf-8"?>
<ds:datastoreItem xmlns:ds="http://schemas.openxmlformats.org/officeDocument/2006/customXml" ds:itemID="{22858478-7531-4DCD-B51D-3283A51F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320df-de26-4493-a698-37a7bbb49260"/>
    <ds:schemaRef ds:uri="46c152c9-b378-41d2-b1fd-bd14fd2b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D8816-902B-4BC5-87EB-3052A6EE74E7}">
  <ds:schemaRefs>
    <ds:schemaRef ds:uri="http://schemas.microsoft.com/sharepoint/v3/contenttype/forms"/>
  </ds:schemaRefs>
</ds:datastoreItem>
</file>

<file path=customXml/itemProps6.xml><?xml version="1.0" encoding="utf-8"?>
<ds:datastoreItem xmlns:ds="http://schemas.openxmlformats.org/officeDocument/2006/customXml" ds:itemID="{78E35B67-A75D-43EB-A262-03A974F22E99}">
  <ds:schemaRefs>
    <ds:schemaRef ds:uri="http://schemas.microsoft.com/office/2006/documentManagement/types"/>
    <ds:schemaRef ds:uri="http://schemas.microsoft.com/sharepoint/v3"/>
    <ds:schemaRef ds:uri="http://purl.org/dc/terms/"/>
    <ds:schemaRef ds:uri="http://schemas.openxmlformats.org/package/2006/metadata/core-properties"/>
    <ds:schemaRef ds:uri="46c152c9-b378-41d2-b1fd-bd14fd2b8c23"/>
    <ds:schemaRef ds:uri="http://purl.org/dc/dcmitype/"/>
    <ds:schemaRef ds:uri="http://schemas.microsoft.com/office/infopath/2007/PartnerControls"/>
    <ds:schemaRef ds:uri="http://purl.org/dc/elements/1.1/"/>
    <ds:schemaRef ds:uri="http://schemas.microsoft.com/office/2006/metadata/properties"/>
    <ds:schemaRef ds:uri="8af320df-de26-4493-a698-37a7bbb49260"/>
    <ds:schemaRef ds:uri="http://www.w3.org/XML/1998/namespace"/>
  </ds:schemaRefs>
</ds:datastoreItem>
</file>

<file path=customXml/itemProps7.xml><?xml version="1.0" encoding="utf-8"?>
<ds:datastoreItem xmlns:ds="http://schemas.openxmlformats.org/officeDocument/2006/customXml" ds:itemID="{11FC8C5E-99A7-4064-93BF-862976FCD87A}">
  <ds:schemaRefs>
    <ds:schemaRef ds:uri="http://schemas.microsoft.com/sharepoint/events"/>
  </ds:schemaRefs>
</ds:datastoreItem>
</file>

<file path=customXml/itemProps8.xml><?xml version="1.0" encoding="utf-8"?>
<ds:datastoreItem xmlns:ds="http://schemas.openxmlformats.org/officeDocument/2006/customXml" ds:itemID="{D1982D29-09A1-42A2-BDBB-B45E6FF9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Wholesale Lending Operations Contingency Plan | Hurricane Irma</vt:lpstr>
    </vt:vector>
  </TitlesOfParts>
  <Company>SunTrust Banks, Inc.</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Lending Operations Contingency Plan | Hurricane Irma</dc:title>
  <dc:subject>Effective: September 8, 2017</dc:subject>
  <dc:creator>Joel Davis</dc:creator>
  <cp:lastModifiedBy>Bearden.Marc</cp:lastModifiedBy>
  <cp:revision>2</cp:revision>
  <cp:lastPrinted>2017-09-07T17:42:00Z</cp:lastPrinted>
  <dcterms:created xsi:type="dcterms:W3CDTF">2021-02-22T13:00:00Z</dcterms:created>
  <dcterms:modified xsi:type="dcterms:W3CDTF">2021-02-22T13:00:00Z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0x0101000C06B6F1EF32BB45A6AB0B6B7DBA4BB300A9A500ED71BDAD45ACA3BD65454BBC22</vt:lpwstr>
  </property>
  <property fmtid="{D5CDD505-2E9C-101B-9397-08002B2CF9AE}" pid="3" name="Retention Years">
    <vt:lpwstr>1;#2|88c9ea6d-3f0b-44f9-a78a-acdbe6e053d4</vt:lpwstr>
  </property>
  <property fmtid="{D5CDD505-2E9C-101B-9397-08002B2CF9AE}" pid="4" name="_dlc_policyId">
    <vt:lpwstr>0x0101000C06B6F1EF32BB45A6AB0B6B7DBA4BB3|756726101</vt:lpwstr>
  </property>
  <property fmtid="{D5CDD505-2E9C-101B-9397-08002B2CF9AE}" pid="5" name="ItemRetentionFormula">
    <vt:lpwstr>&lt;formula id="SunTrust.CustomRetentionFormula" /&gt;</vt:lpwstr>
  </property>
  <property fmtid="{D5CDD505-2E9C-101B-9397-08002B2CF9AE}" pid="6" name="TitusGUID">
    <vt:lpwstr>df28b0ea-2da0-447d-b3f2-fb287d3909b5</vt:lpwstr>
  </property>
  <property fmtid="{D5CDD505-2E9C-101B-9397-08002B2CF9AE}" pid="7" name="DataRiskClassification">
    <vt:lpwstr>Undetermined</vt:lpwstr>
  </property>
</Properties>
</file>