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6BD" w:rsidRDefault="003466BD" w:rsidP="009232E1">
      <w:pPr>
        <w:tabs>
          <w:tab w:val="left" w:pos="1440"/>
        </w:tabs>
        <w:rPr>
          <w:b/>
          <w:sz w:val="22"/>
          <w:szCs w:val="22"/>
        </w:rPr>
      </w:pPr>
      <w:bookmarkStart w:id="0" w:name="_GoBack"/>
      <w:bookmarkEnd w:id="0"/>
    </w:p>
    <w:p w:rsidR="003466BD" w:rsidRDefault="008013C9" w:rsidP="009232E1">
      <w:pPr>
        <w:tabs>
          <w:tab w:val="left" w:pos="1440"/>
        </w:tabs>
        <w:rPr>
          <w:b/>
          <w:sz w:val="22"/>
          <w:szCs w:val="22"/>
        </w:rPr>
      </w:pPr>
      <w:r>
        <w:rPr>
          <w:b/>
          <w:noProof/>
          <w:snapToGrid/>
          <w:sz w:val="22"/>
          <w:szCs w:val="22"/>
        </w:rPr>
        <w:drawing>
          <wp:inline distT="0" distB="0" distL="0" distR="0" wp14:anchorId="6D01F880">
            <wp:extent cx="1485900" cy="8953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895350"/>
                    </a:xfrm>
                    <a:prstGeom prst="rect">
                      <a:avLst/>
                    </a:prstGeom>
                    <a:noFill/>
                  </pic:spPr>
                </pic:pic>
              </a:graphicData>
            </a:graphic>
          </wp:inline>
        </w:drawing>
      </w:r>
    </w:p>
    <w:p w:rsidR="003466BD" w:rsidRDefault="003466BD" w:rsidP="009232E1">
      <w:pPr>
        <w:tabs>
          <w:tab w:val="left" w:pos="1440"/>
        </w:tabs>
        <w:rPr>
          <w:b/>
          <w:sz w:val="22"/>
          <w:szCs w:val="22"/>
        </w:rPr>
      </w:pPr>
    </w:p>
    <w:p w:rsidR="003466BD" w:rsidRDefault="003466BD" w:rsidP="009232E1">
      <w:pPr>
        <w:tabs>
          <w:tab w:val="left" w:pos="1440"/>
        </w:tabs>
        <w:rPr>
          <w:b/>
          <w:sz w:val="22"/>
          <w:szCs w:val="22"/>
        </w:rPr>
      </w:pPr>
    </w:p>
    <w:p w:rsidR="009452CA" w:rsidRPr="00246362" w:rsidRDefault="009452CA" w:rsidP="009232E1">
      <w:pPr>
        <w:tabs>
          <w:tab w:val="left" w:pos="1440"/>
        </w:tabs>
        <w:rPr>
          <w:b/>
          <w:sz w:val="22"/>
          <w:szCs w:val="22"/>
        </w:rPr>
      </w:pPr>
      <w:r w:rsidRPr="00246362">
        <w:rPr>
          <w:b/>
          <w:sz w:val="22"/>
          <w:szCs w:val="22"/>
        </w:rPr>
        <w:t>T</w:t>
      </w:r>
      <w:r w:rsidR="009232E1" w:rsidRPr="00246362">
        <w:rPr>
          <w:b/>
          <w:sz w:val="22"/>
          <w:szCs w:val="22"/>
        </w:rPr>
        <w:t>o</w:t>
      </w:r>
      <w:r w:rsidR="007660D9" w:rsidRPr="00246362">
        <w:rPr>
          <w:b/>
          <w:sz w:val="22"/>
          <w:szCs w:val="22"/>
        </w:rPr>
        <w:t>:</w:t>
      </w:r>
      <w:r w:rsidRPr="00246362">
        <w:rPr>
          <w:b/>
          <w:sz w:val="22"/>
          <w:szCs w:val="22"/>
        </w:rPr>
        <w:tab/>
      </w:r>
      <w:bookmarkStart w:id="1" w:name="To"/>
      <w:r w:rsidR="007660D9" w:rsidRPr="00246362">
        <w:rPr>
          <w:b/>
          <w:sz w:val="22"/>
          <w:szCs w:val="22"/>
        </w:rPr>
        <w:t xml:space="preserve">CRE </w:t>
      </w:r>
      <w:proofErr w:type="gramStart"/>
      <w:r w:rsidR="007660D9" w:rsidRPr="00246362">
        <w:rPr>
          <w:b/>
          <w:sz w:val="22"/>
          <w:szCs w:val="22"/>
        </w:rPr>
        <w:t>Outside</w:t>
      </w:r>
      <w:proofErr w:type="gramEnd"/>
      <w:r w:rsidR="007660D9" w:rsidRPr="00246362">
        <w:rPr>
          <w:b/>
          <w:sz w:val="22"/>
          <w:szCs w:val="22"/>
        </w:rPr>
        <w:t xml:space="preserve"> Counsel</w:t>
      </w:r>
      <w:bookmarkEnd w:id="1"/>
    </w:p>
    <w:p w:rsidR="009452CA" w:rsidRPr="00246362" w:rsidRDefault="009452CA" w:rsidP="009452CA">
      <w:pPr>
        <w:tabs>
          <w:tab w:val="left" w:pos="1440"/>
        </w:tabs>
        <w:ind w:left="1613" w:hanging="1613"/>
        <w:rPr>
          <w:b/>
          <w:sz w:val="22"/>
          <w:szCs w:val="22"/>
        </w:rPr>
      </w:pPr>
    </w:p>
    <w:p w:rsidR="00AF448A" w:rsidRPr="00246362" w:rsidRDefault="00AF448A">
      <w:pPr>
        <w:tabs>
          <w:tab w:val="left" w:pos="1440"/>
        </w:tabs>
        <w:ind w:left="1613" w:hanging="1613"/>
        <w:rPr>
          <w:b/>
          <w:sz w:val="22"/>
          <w:szCs w:val="22"/>
        </w:rPr>
      </w:pPr>
      <w:r w:rsidRPr="00246362">
        <w:rPr>
          <w:b/>
          <w:sz w:val="22"/>
          <w:szCs w:val="22"/>
        </w:rPr>
        <w:t>F</w:t>
      </w:r>
      <w:r w:rsidR="009232E1" w:rsidRPr="00246362">
        <w:rPr>
          <w:b/>
          <w:sz w:val="22"/>
          <w:szCs w:val="22"/>
        </w:rPr>
        <w:t>rom</w:t>
      </w:r>
      <w:r w:rsidR="007660D9" w:rsidRPr="00246362">
        <w:rPr>
          <w:b/>
          <w:sz w:val="22"/>
          <w:szCs w:val="22"/>
        </w:rPr>
        <w:t>:</w:t>
      </w:r>
      <w:r w:rsidRPr="00246362">
        <w:rPr>
          <w:b/>
          <w:sz w:val="22"/>
          <w:szCs w:val="22"/>
        </w:rPr>
        <w:tab/>
      </w:r>
      <w:bookmarkStart w:id="2" w:name="From"/>
      <w:r w:rsidR="007660D9" w:rsidRPr="00246362">
        <w:rPr>
          <w:b/>
          <w:sz w:val="22"/>
          <w:szCs w:val="22"/>
        </w:rPr>
        <w:t>Jennifer Rentenbach</w:t>
      </w:r>
      <w:bookmarkEnd w:id="2"/>
      <w:r w:rsidR="00410468">
        <w:rPr>
          <w:b/>
          <w:sz w:val="22"/>
          <w:szCs w:val="22"/>
        </w:rPr>
        <w:t>, Assistant General Counsel</w:t>
      </w:r>
    </w:p>
    <w:p w:rsidR="009232E1" w:rsidRPr="00246362" w:rsidRDefault="009232E1" w:rsidP="009452CA">
      <w:pPr>
        <w:tabs>
          <w:tab w:val="left" w:pos="1440"/>
        </w:tabs>
        <w:rPr>
          <w:b/>
          <w:sz w:val="22"/>
          <w:szCs w:val="22"/>
        </w:rPr>
      </w:pPr>
    </w:p>
    <w:p w:rsidR="00AF448A" w:rsidRPr="00246362" w:rsidRDefault="009452CA">
      <w:pPr>
        <w:tabs>
          <w:tab w:val="left" w:pos="1440"/>
        </w:tabs>
        <w:rPr>
          <w:b/>
          <w:sz w:val="22"/>
          <w:szCs w:val="22"/>
        </w:rPr>
      </w:pPr>
      <w:r w:rsidRPr="00246362">
        <w:rPr>
          <w:b/>
          <w:sz w:val="22"/>
          <w:szCs w:val="22"/>
        </w:rPr>
        <w:t>D</w:t>
      </w:r>
      <w:r w:rsidR="009232E1" w:rsidRPr="00246362">
        <w:rPr>
          <w:b/>
          <w:sz w:val="22"/>
          <w:szCs w:val="22"/>
        </w:rPr>
        <w:t>ate</w:t>
      </w:r>
      <w:r w:rsidR="007660D9" w:rsidRPr="00246362">
        <w:rPr>
          <w:b/>
          <w:sz w:val="22"/>
          <w:szCs w:val="22"/>
        </w:rPr>
        <w:t>:</w:t>
      </w:r>
      <w:r w:rsidRPr="00246362">
        <w:rPr>
          <w:b/>
          <w:sz w:val="22"/>
          <w:szCs w:val="22"/>
        </w:rPr>
        <w:tab/>
      </w:r>
      <w:r w:rsidR="00797ED3">
        <w:rPr>
          <w:b/>
          <w:sz w:val="22"/>
          <w:szCs w:val="22"/>
        </w:rPr>
        <w:t>October 24, 2017</w:t>
      </w:r>
    </w:p>
    <w:p w:rsidR="009232E1" w:rsidRPr="00246362" w:rsidRDefault="009232E1">
      <w:pPr>
        <w:tabs>
          <w:tab w:val="left" w:pos="1440"/>
        </w:tabs>
        <w:ind w:left="1613" w:hanging="1613"/>
        <w:rPr>
          <w:b/>
          <w:sz w:val="22"/>
          <w:szCs w:val="22"/>
        </w:rPr>
      </w:pPr>
    </w:p>
    <w:p w:rsidR="00AF448A" w:rsidRPr="00797ED3" w:rsidRDefault="00AF448A">
      <w:pPr>
        <w:tabs>
          <w:tab w:val="left" w:pos="1440"/>
        </w:tabs>
        <w:ind w:left="1613" w:hanging="1613"/>
        <w:rPr>
          <w:b/>
          <w:i/>
          <w:sz w:val="22"/>
          <w:szCs w:val="22"/>
        </w:rPr>
      </w:pPr>
      <w:r w:rsidRPr="00246362">
        <w:rPr>
          <w:b/>
          <w:sz w:val="22"/>
          <w:szCs w:val="22"/>
        </w:rPr>
        <w:t>S</w:t>
      </w:r>
      <w:r w:rsidR="009232E1" w:rsidRPr="00246362">
        <w:rPr>
          <w:b/>
          <w:sz w:val="22"/>
          <w:szCs w:val="22"/>
        </w:rPr>
        <w:t>ubject</w:t>
      </w:r>
      <w:r w:rsidR="007660D9" w:rsidRPr="00246362">
        <w:rPr>
          <w:b/>
          <w:sz w:val="22"/>
          <w:szCs w:val="22"/>
        </w:rPr>
        <w:t>:</w:t>
      </w:r>
      <w:r w:rsidR="007660D9" w:rsidRPr="00246362">
        <w:rPr>
          <w:b/>
          <w:sz w:val="22"/>
          <w:szCs w:val="22"/>
        </w:rPr>
        <w:tab/>
      </w:r>
      <w:r w:rsidR="00797ED3">
        <w:rPr>
          <w:b/>
          <w:sz w:val="22"/>
          <w:szCs w:val="22"/>
        </w:rPr>
        <w:t>Updates to CRE form Loan Agreements</w:t>
      </w:r>
    </w:p>
    <w:p w:rsidR="00246362" w:rsidRPr="00DC3647" w:rsidRDefault="00246362" w:rsidP="00602700">
      <w:pPr>
        <w:pBdr>
          <w:bottom w:val="single" w:sz="6" w:space="1" w:color="auto"/>
        </w:pBdr>
        <w:tabs>
          <w:tab w:val="left" w:pos="1440"/>
        </w:tabs>
        <w:rPr>
          <w:b/>
          <w:sz w:val="22"/>
          <w:szCs w:val="22"/>
          <w:u w:val="single"/>
        </w:rPr>
      </w:pPr>
    </w:p>
    <w:p w:rsidR="00602700" w:rsidRDefault="00797ED3" w:rsidP="00602700">
      <w:pPr>
        <w:tabs>
          <w:tab w:val="left" w:pos="1440"/>
        </w:tabs>
        <w:jc w:val="both"/>
        <w:rPr>
          <w:sz w:val="22"/>
          <w:szCs w:val="22"/>
        </w:rPr>
      </w:pPr>
      <w:r>
        <w:rPr>
          <w:sz w:val="22"/>
          <w:szCs w:val="22"/>
        </w:rPr>
        <w:tab/>
      </w:r>
    </w:p>
    <w:p w:rsidR="00542283" w:rsidRPr="00DC3647" w:rsidRDefault="00797ED3" w:rsidP="00797ED3">
      <w:pPr>
        <w:tabs>
          <w:tab w:val="left" w:pos="720"/>
        </w:tabs>
        <w:jc w:val="both"/>
        <w:rPr>
          <w:sz w:val="22"/>
          <w:szCs w:val="22"/>
        </w:rPr>
      </w:pPr>
      <w:r>
        <w:rPr>
          <w:sz w:val="22"/>
          <w:szCs w:val="22"/>
        </w:rPr>
        <w:tab/>
      </w:r>
      <w:r w:rsidR="00542283" w:rsidRPr="00DC3647">
        <w:rPr>
          <w:sz w:val="22"/>
          <w:szCs w:val="22"/>
        </w:rPr>
        <w:t xml:space="preserve">Please note that we are providing this memorandum to only one contact at each of our outside law firms.  </w:t>
      </w:r>
    </w:p>
    <w:p w:rsidR="00542283" w:rsidRPr="00DC3647" w:rsidRDefault="00542283" w:rsidP="00542283">
      <w:pPr>
        <w:tabs>
          <w:tab w:val="left" w:pos="1440"/>
        </w:tabs>
        <w:ind w:left="1613" w:hanging="1613"/>
        <w:jc w:val="both"/>
        <w:rPr>
          <w:sz w:val="22"/>
          <w:szCs w:val="22"/>
        </w:rPr>
      </w:pPr>
      <w:r w:rsidRPr="00DC3647">
        <w:rPr>
          <w:sz w:val="22"/>
          <w:szCs w:val="22"/>
        </w:rPr>
        <w:t xml:space="preserve">Please circulate this memorandum to each of your firm’s attorneys who may work on matters for the SunTrust </w:t>
      </w:r>
    </w:p>
    <w:p w:rsidR="00777AE3" w:rsidRDefault="00542283" w:rsidP="00542283">
      <w:pPr>
        <w:tabs>
          <w:tab w:val="left" w:pos="1440"/>
        </w:tabs>
        <w:jc w:val="both"/>
        <w:rPr>
          <w:sz w:val="22"/>
          <w:szCs w:val="22"/>
        </w:rPr>
      </w:pPr>
      <w:proofErr w:type="gramStart"/>
      <w:r w:rsidRPr="00DC3647">
        <w:rPr>
          <w:sz w:val="22"/>
          <w:szCs w:val="22"/>
        </w:rPr>
        <w:t>Commercial Real Estate (“</w:t>
      </w:r>
      <w:r w:rsidRPr="00DC3647">
        <w:rPr>
          <w:sz w:val="22"/>
          <w:szCs w:val="22"/>
          <w:u w:val="single"/>
        </w:rPr>
        <w:t>CRE</w:t>
      </w:r>
      <w:r w:rsidRPr="00DC3647">
        <w:rPr>
          <w:sz w:val="22"/>
          <w:szCs w:val="22"/>
        </w:rPr>
        <w:t>”) line of business.</w:t>
      </w:r>
      <w:proofErr w:type="gramEnd"/>
    </w:p>
    <w:p w:rsidR="00797ED3" w:rsidRDefault="00797ED3" w:rsidP="00797ED3">
      <w:pPr>
        <w:tabs>
          <w:tab w:val="left" w:pos="1440"/>
        </w:tabs>
        <w:ind w:left="1613" w:hanging="1613"/>
        <w:jc w:val="both"/>
        <w:rPr>
          <w:sz w:val="22"/>
          <w:szCs w:val="22"/>
        </w:rPr>
      </w:pPr>
    </w:p>
    <w:p w:rsidR="00D41248" w:rsidRDefault="00797ED3" w:rsidP="00797ED3">
      <w:pPr>
        <w:tabs>
          <w:tab w:val="left" w:pos="720"/>
          <w:tab w:val="left" w:pos="1710"/>
        </w:tabs>
        <w:jc w:val="both"/>
        <w:rPr>
          <w:sz w:val="22"/>
          <w:szCs w:val="22"/>
        </w:rPr>
      </w:pPr>
      <w:r>
        <w:rPr>
          <w:sz w:val="22"/>
          <w:szCs w:val="22"/>
        </w:rPr>
        <w:tab/>
      </w:r>
      <w:r w:rsidR="00BB4998">
        <w:rPr>
          <w:sz w:val="22"/>
          <w:szCs w:val="22"/>
        </w:rPr>
        <w:t xml:space="preserve">Attached </w:t>
      </w:r>
      <w:r w:rsidR="00777AE3">
        <w:rPr>
          <w:sz w:val="22"/>
          <w:szCs w:val="22"/>
        </w:rPr>
        <w:t xml:space="preserve">are </w:t>
      </w:r>
      <w:r>
        <w:rPr>
          <w:sz w:val="22"/>
          <w:szCs w:val="22"/>
        </w:rPr>
        <w:t xml:space="preserve">updated versions of the </w:t>
      </w:r>
      <w:r w:rsidRPr="00AB698D">
        <w:rPr>
          <w:sz w:val="22"/>
          <w:szCs w:val="22"/>
        </w:rPr>
        <w:t>CRE</w:t>
      </w:r>
      <w:r>
        <w:rPr>
          <w:sz w:val="22"/>
          <w:szCs w:val="22"/>
        </w:rPr>
        <w:t xml:space="preserve"> form Loan Agreements</w:t>
      </w:r>
      <w:r w:rsidR="00D41248">
        <w:rPr>
          <w:sz w:val="22"/>
          <w:szCs w:val="22"/>
        </w:rPr>
        <w:t>, which are in process of being uploaded to our CRE Loan Documentation Website.</w:t>
      </w:r>
      <w:r w:rsidR="00E86E63">
        <w:rPr>
          <w:sz w:val="22"/>
          <w:szCs w:val="22"/>
        </w:rPr>
        <w:t xml:space="preserve">  These versions</w:t>
      </w:r>
      <w:r w:rsidR="0040740F">
        <w:rPr>
          <w:sz w:val="22"/>
          <w:szCs w:val="22"/>
        </w:rPr>
        <w:t xml:space="preserve"> in</w:t>
      </w:r>
      <w:r w:rsidR="00E86E63">
        <w:rPr>
          <w:sz w:val="22"/>
          <w:szCs w:val="22"/>
        </w:rPr>
        <w:t>clude the updates detailed belo</w:t>
      </w:r>
      <w:r w:rsidR="0040740F">
        <w:rPr>
          <w:sz w:val="22"/>
          <w:szCs w:val="22"/>
        </w:rPr>
        <w:t>w.</w:t>
      </w:r>
      <w:r w:rsidR="00E86E63">
        <w:rPr>
          <w:sz w:val="22"/>
          <w:szCs w:val="22"/>
        </w:rPr>
        <w:t xml:space="preserve">  In any deal where for any reason you are not using the most recent version of our form loan agreement, please make sure these updates, as applicable, are included in your documents along with any other subsequent form updates.</w:t>
      </w:r>
    </w:p>
    <w:p w:rsidR="006F1805" w:rsidRDefault="006F1805" w:rsidP="00797ED3">
      <w:pPr>
        <w:tabs>
          <w:tab w:val="left" w:pos="720"/>
          <w:tab w:val="left" w:pos="1710"/>
        </w:tabs>
        <w:jc w:val="both"/>
        <w:rPr>
          <w:sz w:val="22"/>
          <w:szCs w:val="22"/>
        </w:rPr>
      </w:pPr>
    </w:p>
    <w:p w:rsidR="006F1805" w:rsidRDefault="006F1805" w:rsidP="00797ED3">
      <w:pPr>
        <w:tabs>
          <w:tab w:val="left" w:pos="720"/>
          <w:tab w:val="left" w:pos="1710"/>
        </w:tabs>
        <w:jc w:val="both"/>
        <w:rPr>
          <w:sz w:val="22"/>
          <w:szCs w:val="22"/>
          <w:u w:val="single"/>
        </w:rPr>
      </w:pPr>
      <w:r>
        <w:rPr>
          <w:sz w:val="22"/>
          <w:szCs w:val="22"/>
        </w:rPr>
        <w:tab/>
      </w:r>
      <w:r>
        <w:rPr>
          <w:sz w:val="22"/>
          <w:szCs w:val="22"/>
          <w:u w:val="single"/>
        </w:rPr>
        <w:t>Updates</w:t>
      </w:r>
      <w:r w:rsidR="00C70005">
        <w:rPr>
          <w:sz w:val="22"/>
          <w:szCs w:val="22"/>
          <w:u w:val="single"/>
        </w:rPr>
        <w:t>:</w:t>
      </w:r>
    </w:p>
    <w:p w:rsidR="00C70005" w:rsidRDefault="00C70005" w:rsidP="00797ED3">
      <w:pPr>
        <w:tabs>
          <w:tab w:val="left" w:pos="720"/>
          <w:tab w:val="left" w:pos="1710"/>
        </w:tabs>
        <w:jc w:val="both"/>
        <w:rPr>
          <w:sz w:val="22"/>
          <w:szCs w:val="22"/>
          <w:u w:val="single"/>
        </w:rPr>
      </w:pPr>
    </w:p>
    <w:p w:rsidR="00C70005" w:rsidRDefault="00C70005" w:rsidP="001443C1">
      <w:pPr>
        <w:tabs>
          <w:tab w:val="left" w:pos="720"/>
          <w:tab w:val="left" w:pos="1710"/>
        </w:tabs>
        <w:jc w:val="both"/>
        <w:rPr>
          <w:b/>
          <w:sz w:val="22"/>
          <w:szCs w:val="22"/>
        </w:rPr>
      </w:pPr>
    </w:p>
    <w:p w:rsidR="001443C1" w:rsidRDefault="001443C1" w:rsidP="001443C1">
      <w:pPr>
        <w:pStyle w:val="ListParagraph"/>
        <w:numPr>
          <w:ilvl w:val="0"/>
          <w:numId w:val="9"/>
        </w:numPr>
        <w:tabs>
          <w:tab w:val="left" w:pos="720"/>
          <w:tab w:val="left" w:pos="1710"/>
        </w:tabs>
        <w:jc w:val="both"/>
        <w:rPr>
          <w:b/>
          <w:sz w:val="22"/>
          <w:szCs w:val="22"/>
        </w:rPr>
      </w:pPr>
      <w:r>
        <w:rPr>
          <w:b/>
          <w:sz w:val="22"/>
          <w:szCs w:val="22"/>
        </w:rPr>
        <w:t>Flood Insuran</w:t>
      </w:r>
      <w:r w:rsidR="00410468">
        <w:rPr>
          <w:b/>
          <w:sz w:val="22"/>
          <w:szCs w:val="22"/>
        </w:rPr>
        <w:t>ce Compliance for Construction L</w:t>
      </w:r>
      <w:r>
        <w:rPr>
          <w:b/>
          <w:sz w:val="22"/>
          <w:szCs w:val="22"/>
        </w:rPr>
        <w:t>oans</w:t>
      </w:r>
    </w:p>
    <w:p w:rsidR="001443C1" w:rsidRDefault="001443C1" w:rsidP="001443C1">
      <w:pPr>
        <w:pStyle w:val="ListParagraph"/>
        <w:tabs>
          <w:tab w:val="left" w:pos="720"/>
          <w:tab w:val="left" w:pos="1710"/>
        </w:tabs>
        <w:jc w:val="both"/>
        <w:rPr>
          <w:b/>
          <w:sz w:val="22"/>
          <w:szCs w:val="22"/>
        </w:rPr>
      </w:pPr>
    </w:p>
    <w:p w:rsidR="009550A2" w:rsidRDefault="001443C1" w:rsidP="009550A2">
      <w:pPr>
        <w:pStyle w:val="ListParagraph"/>
        <w:tabs>
          <w:tab w:val="left" w:pos="1710"/>
        </w:tabs>
        <w:ind w:left="0" w:firstLine="720"/>
        <w:jc w:val="both"/>
        <w:rPr>
          <w:sz w:val="22"/>
          <w:szCs w:val="22"/>
        </w:rPr>
      </w:pPr>
      <w:r w:rsidRPr="0065114F">
        <w:rPr>
          <w:sz w:val="22"/>
          <w:szCs w:val="22"/>
          <w:u w:val="single"/>
        </w:rPr>
        <w:t>Effective November 1, 2017</w:t>
      </w:r>
      <w:r>
        <w:rPr>
          <w:sz w:val="22"/>
          <w:szCs w:val="22"/>
        </w:rPr>
        <w:t xml:space="preserve">, </w:t>
      </w:r>
      <w:r w:rsidR="001854FC">
        <w:rPr>
          <w:sz w:val="22"/>
          <w:szCs w:val="22"/>
        </w:rPr>
        <w:t xml:space="preserve">for any construction loan where structures will be built in a Special Flood Hazard Area, SunTrust will require that flood insurance, sufficient to comply with the requirements of the National Flood Insurance Reform Act of 1994 and related legislation, is in place and effective </w:t>
      </w:r>
      <w:r w:rsidR="001854FC" w:rsidRPr="00A242FB">
        <w:rPr>
          <w:b/>
          <w:sz w:val="22"/>
          <w:szCs w:val="22"/>
          <w:u w:val="single"/>
        </w:rPr>
        <w:t>at the time of loan closing</w:t>
      </w:r>
      <w:r w:rsidR="001854FC">
        <w:rPr>
          <w:sz w:val="22"/>
          <w:szCs w:val="22"/>
        </w:rPr>
        <w:t xml:space="preserve">.  Previously, SunTrust had required evidence that sufficient flood insurance was in place </w:t>
      </w:r>
      <w:r w:rsidR="001854FC" w:rsidRPr="001854FC">
        <w:rPr>
          <w:sz w:val="22"/>
          <w:szCs w:val="22"/>
        </w:rPr>
        <w:t>prior to vertical construction</w:t>
      </w:r>
      <w:r w:rsidR="001854FC" w:rsidRPr="00CD4560">
        <w:rPr>
          <w:sz w:val="22"/>
          <w:szCs w:val="22"/>
        </w:rPr>
        <w:t xml:space="preserve">, </w:t>
      </w:r>
      <w:r w:rsidR="00094F3A">
        <w:rPr>
          <w:sz w:val="22"/>
          <w:szCs w:val="22"/>
        </w:rPr>
        <w:t>after the slab or foundation had</w:t>
      </w:r>
      <w:r w:rsidR="001854FC" w:rsidRPr="00CD4560">
        <w:rPr>
          <w:sz w:val="22"/>
          <w:szCs w:val="22"/>
        </w:rPr>
        <w:t xml:space="preserve"> been completed.</w:t>
      </w:r>
      <w:r w:rsidR="005328C1">
        <w:rPr>
          <w:sz w:val="22"/>
          <w:szCs w:val="22"/>
        </w:rPr>
        <w:t xml:space="preserve">   </w:t>
      </w:r>
      <w:r w:rsidR="00A242FB">
        <w:rPr>
          <w:sz w:val="22"/>
          <w:szCs w:val="22"/>
        </w:rPr>
        <w:t>This change in timing is a result of the d</w:t>
      </w:r>
      <w:r w:rsidR="005328C1">
        <w:rPr>
          <w:sz w:val="22"/>
          <w:szCs w:val="22"/>
        </w:rPr>
        <w:t xml:space="preserve">ifficulties inherent in effectively monitoring that required flood insurance has been </w:t>
      </w:r>
      <w:r w:rsidR="00A242FB">
        <w:rPr>
          <w:sz w:val="22"/>
          <w:szCs w:val="22"/>
        </w:rPr>
        <w:t>obtained</w:t>
      </w:r>
      <w:r w:rsidR="005328C1">
        <w:rPr>
          <w:sz w:val="22"/>
          <w:szCs w:val="22"/>
        </w:rPr>
        <w:t xml:space="preserve"> after loan closing but prior to commencement of vertical </w:t>
      </w:r>
      <w:r w:rsidR="00A242FB">
        <w:rPr>
          <w:sz w:val="22"/>
          <w:szCs w:val="22"/>
        </w:rPr>
        <w:t>construction.</w:t>
      </w:r>
      <w:r w:rsidR="009550A2">
        <w:rPr>
          <w:sz w:val="22"/>
          <w:szCs w:val="22"/>
        </w:rPr>
        <w:t xml:space="preserve">  For loans closing after November 1</w:t>
      </w:r>
      <w:r w:rsidR="009550A2" w:rsidRPr="009550A2">
        <w:rPr>
          <w:sz w:val="22"/>
          <w:szCs w:val="22"/>
          <w:vertAlign w:val="superscript"/>
        </w:rPr>
        <w:t>st</w:t>
      </w:r>
      <w:r w:rsidR="009550A2">
        <w:rPr>
          <w:sz w:val="22"/>
          <w:szCs w:val="22"/>
        </w:rPr>
        <w:t xml:space="preserve">, please delete item (p) in </w:t>
      </w:r>
      <w:r w:rsidR="009550A2" w:rsidRPr="008B0DD4">
        <w:rPr>
          <w:sz w:val="22"/>
          <w:szCs w:val="22"/>
          <w:u w:val="single"/>
        </w:rPr>
        <w:t>Section 3.3</w:t>
      </w:r>
      <w:r w:rsidR="009550A2">
        <w:rPr>
          <w:sz w:val="22"/>
          <w:szCs w:val="22"/>
        </w:rPr>
        <w:t xml:space="preserve"> (</w:t>
      </w:r>
      <w:r w:rsidR="009550A2">
        <w:rPr>
          <w:sz w:val="22"/>
          <w:szCs w:val="22"/>
          <w:u w:val="single"/>
        </w:rPr>
        <w:t>Conditions Precedent to All Advances</w:t>
      </w:r>
      <w:r w:rsidR="009550A2">
        <w:rPr>
          <w:sz w:val="22"/>
          <w:szCs w:val="22"/>
        </w:rPr>
        <w:t xml:space="preserve">) of our form </w:t>
      </w:r>
      <w:r w:rsidR="00094F3A">
        <w:rPr>
          <w:sz w:val="22"/>
          <w:szCs w:val="22"/>
        </w:rPr>
        <w:t xml:space="preserve">Construction </w:t>
      </w:r>
      <w:r w:rsidR="009550A2">
        <w:rPr>
          <w:sz w:val="22"/>
          <w:szCs w:val="22"/>
        </w:rPr>
        <w:t>Loan Agreement</w:t>
      </w:r>
      <w:r w:rsidR="00094F3A">
        <w:rPr>
          <w:sz w:val="22"/>
          <w:szCs w:val="22"/>
        </w:rPr>
        <w:t>s</w:t>
      </w:r>
      <w:r w:rsidR="009550A2">
        <w:rPr>
          <w:sz w:val="22"/>
          <w:szCs w:val="22"/>
        </w:rPr>
        <w:t>, set forth below, as it suggests that delivery of compliant flood insurance can be delayed until commencement of vertical construction:</w:t>
      </w:r>
    </w:p>
    <w:p w:rsidR="00653497" w:rsidRDefault="00653497" w:rsidP="009550A2">
      <w:pPr>
        <w:pStyle w:val="ListParagraph"/>
        <w:tabs>
          <w:tab w:val="left" w:pos="1710"/>
        </w:tabs>
        <w:ind w:left="0" w:firstLine="720"/>
        <w:jc w:val="both"/>
        <w:rPr>
          <w:sz w:val="22"/>
          <w:szCs w:val="22"/>
        </w:rPr>
      </w:pPr>
    </w:p>
    <w:p w:rsidR="00653497" w:rsidRDefault="00653497" w:rsidP="00653497">
      <w:pPr>
        <w:pStyle w:val="ListParagraph"/>
        <w:tabs>
          <w:tab w:val="left" w:pos="1710"/>
        </w:tabs>
        <w:ind w:left="0" w:firstLine="720"/>
        <w:jc w:val="both"/>
        <w:rPr>
          <w:sz w:val="22"/>
          <w:szCs w:val="22"/>
          <w:u w:val="single"/>
        </w:rPr>
      </w:pPr>
      <w:r>
        <w:rPr>
          <w:sz w:val="22"/>
          <w:szCs w:val="22"/>
          <w:u w:val="single"/>
        </w:rPr>
        <w:t xml:space="preserve">Section 3.3(p) – </w:t>
      </w:r>
      <w:r>
        <w:rPr>
          <w:b/>
          <w:i/>
          <w:sz w:val="22"/>
          <w:szCs w:val="22"/>
          <w:u w:val="single"/>
        </w:rPr>
        <w:t>to be deleted</w:t>
      </w:r>
      <w:r>
        <w:rPr>
          <w:sz w:val="22"/>
          <w:szCs w:val="22"/>
          <w:u w:val="single"/>
        </w:rPr>
        <w:t>:</w:t>
      </w:r>
    </w:p>
    <w:p w:rsidR="00653497" w:rsidRDefault="00653497" w:rsidP="00653497">
      <w:pPr>
        <w:pStyle w:val="ListParagraph"/>
        <w:tabs>
          <w:tab w:val="left" w:pos="1710"/>
        </w:tabs>
        <w:ind w:left="0" w:firstLine="720"/>
        <w:jc w:val="both"/>
        <w:rPr>
          <w:sz w:val="22"/>
          <w:szCs w:val="22"/>
          <w:u w:val="single"/>
        </w:rPr>
      </w:pPr>
    </w:p>
    <w:p w:rsidR="001443C1" w:rsidRDefault="001443C1" w:rsidP="00653497">
      <w:pPr>
        <w:pStyle w:val="ListParagraph"/>
        <w:tabs>
          <w:tab w:val="left" w:pos="1710"/>
        </w:tabs>
        <w:ind w:left="0" w:firstLine="720"/>
        <w:jc w:val="both"/>
        <w:rPr>
          <w:rFonts w:eastAsia="Batang"/>
          <w:b/>
          <w:color w:val="C00000"/>
          <w:w w:val="0"/>
          <w:sz w:val="22"/>
          <w:szCs w:val="22"/>
        </w:rPr>
      </w:pPr>
      <w:r w:rsidRPr="00653497">
        <w:rPr>
          <w:rFonts w:eastAsia="Batang"/>
          <w:b/>
          <w:color w:val="C00000"/>
          <w:w w:val="0"/>
          <w:sz w:val="22"/>
          <w:szCs w:val="22"/>
        </w:rPr>
        <w:t>Prior to the construction of any Improvements above the foundation on any portion of the Property located in an area designated by the Federal Emergency Management Agency as having special flood hazards, Lender shall have received evidence in form and substance acceptable to Lender that Borrower has obtained a policy of flood insurance in compliance with all applicable regulations of the Board of Governors of the Federal Reserve System.</w:t>
      </w:r>
    </w:p>
    <w:p w:rsidR="003B1890" w:rsidRDefault="003B1890" w:rsidP="00653497">
      <w:pPr>
        <w:pStyle w:val="ListParagraph"/>
        <w:tabs>
          <w:tab w:val="left" w:pos="1710"/>
        </w:tabs>
        <w:ind w:left="0" w:firstLine="720"/>
        <w:jc w:val="both"/>
        <w:rPr>
          <w:rFonts w:eastAsia="Batang"/>
          <w:b/>
          <w:color w:val="C00000"/>
          <w:w w:val="0"/>
          <w:sz w:val="22"/>
          <w:szCs w:val="22"/>
        </w:rPr>
      </w:pPr>
    </w:p>
    <w:p w:rsidR="008B0DD4" w:rsidRDefault="008B0DD4" w:rsidP="00653497">
      <w:pPr>
        <w:pStyle w:val="ListParagraph"/>
        <w:tabs>
          <w:tab w:val="left" w:pos="1710"/>
        </w:tabs>
        <w:ind w:left="0" w:firstLine="720"/>
        <w:jc w:val="both"/>
        <w:rPr>
          <w:rFonts w:eastAsia="Batang"/>
          <w:b/>
          <w:color w:val="C00000"/>
          <w:w w:val="0"/>
          <w:sz w:val="22"/>
          <w:szCs w:val="22"/>
        </w:rPr>
      </w:pPr>
    </w:p>
    <w:p w:rsidR="00150135" w:rsidRPr="00150135" w:rsidRDefault="00150135" w:rsidP="008B0DD4">
      <w:pPr>
        <w:pStyle w:val="ListParagraph"/>
        <w:numPr>
          <w:ilvl w:val="0"/>
          <w:numId w:val="9"/>
        </w:numPr>
        <w:tabs>
          <w:tab w:val="left" w:pos="1710"/>
        </w:tabs>
        <w:jc w:val="both"/>
        <w:rPr>
          <w:b/>
          <w:color w:val="000000" w:themeColor="text1"/>
          <w:sz w:val="22"/>
          <w:szCs w:val="22"/>
          <w:u w:val="single"/>
        </w:rPr>
      </w:pPr>
      <w:r>
        <w:rPr>
          <w:b/>
          <w:color w:val="000000" w:themeColor="text1"/>
          <w:sz w:val="22"/>
          <w:szCs w:val="22"/>
        </w:rPr>
        <w:t>Permanent Loan Provisions Added to Syndicated Term Loan Agreement Form</w:t>
      </w:r>
    </w:p>
    <w:p w:rsidR="00150135" w:rsidRDefault="00150135" w:rsidP="00150135">
      <w:pPr>
        <w:pStyle w:val="ListParagraph"/>
        <w:tabs>
          <w:tab w:val="left" w:pos="1710"/>
        </w:tabs>
        <w:jc w:val="both"/>
        <w:rPr>
          <w:color w:val="000000" w:themeColor="text1"/>
          <w:sz w:val="22"/>
          <w:szCs w:val="22"/>
        </w:rPr>
      </w:pPr>
    </w:p>
    <w:p w:rsidR="00150135" w:rsidRDefault="008D0AAC" w:rsidP="00D337EB">
      <w:pPr>
        <w:pStyle w:val="ListParagraph"/>
        <w:tabs>
          <w:tab w:val="left" w:pos="720"/>
        </w:tabs>
        <w:ind w:left="0"/>
        <w:jc w:val="both"/>
        <w:rPr>
          <w:color w:val="000000" w:themeColor="text1"/>
          <w:sz w:val="22"/>
          <w:szCs w:val="22"/>
        </w:rPr>
      </w:pPr>
      <w:r>
        <w:rPr>
          <w:color w:val="000000" w:themeColor="text1"/>
          <w:sz w:val="22"/>
          <w:szCs w:val="22"/>
        </w:rPr>
        <w:tab/>
        <w:t>Earlier</w:t>
      </w:r>
      <w:r w:rsidR="00150135">
        <w:rPr>
          <w:color w:val="000000" w:themeColor="text1"/>
          <w:sz w:val="22"/>
          <w:szCs w:val="22"/>
        </w:rPr>
        <w:t xml:space="preserve"> this year CRE introduced a permanent loan program, providing 5, 7 and 10 year loan terms, at fixed or floating rates (with an interest rate swap required for floating rate loans), on stabilized properties.</w:t>
      </w:r>
      <w:r>
        <w:rPr>
          <w:color w:val="000000" w:themeColor="text1"/>
          <w:sz w:val="22"/>
          <w:szCs w:val="22"/>
        </w:rPr>
        <w:t xml:space="preserve">  Our form </w:t>
      </w:r>
      <w:r>
        <w:rPr>
          <w:color w:val="000000" w:themeColor="text1"/>
          <w:sz w:val="22"/>
          <w:szCs w:val="22"/>
        </w:rPr>
        <w:lastRenderedPageBreak/>
        <w:t>Syndicated Term Loan Agreement has been updated to include provisions that may be applicable for these permanent loans (depending on specific deal terms), including:</w:t>
      </w:r>
    </w:p>
    <w:p w:rsidR="008D0AAC" w:rsidRDefault="008D0AAC" w:rsidP="00D337EB">
      <w:pPr>
        <w:pStyle w:val="ListParagraph"/>
        <w:tabs>
          <w:tab w:val="left" w:pos="720"/>
        </w:tabs>
        <w:ind w:left="0"/>
        <w:jc w:val="both"/>
        <w:rPr>
          <w:color w:val="000000" w:themeColor="text1"/>
          <w:sz w:val="22"/>
          <w:szCs w:val="22"/>
        </w:rPr>
      </w:pPr>
    </w:p>
    <w:p w:rsidR="008D0AAC" w:rsidRPr="005815DC" w:rsidRDefault="008D0AAC" w:rsidP="008D0AAC">
      <w:pPr>
        <w:pStyle w:val="ListParagraph"/>
        <w:numPr>
          <w:ilvl w:val="0"/>
          <w:numId w:val="11"/>
        </w:numPr>
        <w:tabs>
          <w:tab w:val="left" w:pos="720"/>
        </w:tabs>
        <w:jc w:val="both"/>
        <w:rPr>
          <w:color w:val="000000" w:themeColor="text1"/>
          <w:sz w:val="22"/>
          <w:szCs w:val="22"/>
          <w:u w:val="single"/>
        </w:rPr>
      </w:pPr>
      <w:r>
        <w:rPr>
          <w:color w:val="000000" w:themeColor="text1"/>
          <w:sz w:val="22"/>
          <w:szCs w:val="22"/>
        </w:rPr>
        <w:t xml:space="preserve">Prepayment premium provisions for fixed rate loans, along with notations of </w:t>
      </w:r>
      <w:r w:rsidR="005815DC">
        <w:rPr>
          <w:color w:val="000000" w:themeColor="text1"/>
          <w:sz w:val="22"/>
          <w:szCs w:val="22"/>
        </w:rPr>
        <w:t>floating rate specific provisions to delete for fixed rate loans</w:t>
      </w:r>
    </w:p>
    <w:p w:rsidR="005815DC" w:rsidRPr="005815DC" w:rsidRDefault="005815DC" w:rsidP="008D0AAC">
      <w:pPr>
        <w:pStyle w:val="ListParagraph"/>
        <w:numPr>
          <w:ilvl w:val="0"/>
          <w:numId w:val="11"/>
        </w:numPr>
        <w:tabs>
          <w:tab w:val="left" w:pos="720"/>
        </w:tabs>
        <w:jc w:val="both"/>
        <w:rPr>
          <w:color w:val="000000" w:themeColor="text1"/>
          <w:sz w:val="22"/>
          <w:szCs w:val="22"/>
          <w:u w:val="single"/>
        </w:rPr>
      </w:pPr>
      <w:r>
        <w:rPr>
          <w:color w:val="000000" w:themeColor="text1"/>
          <w:sz w:val="22"/>
          <w:szCs w:val="22"/>
        </w:rPr>
        <w:t>Provisions for holdbacks for TI, leasing commissions and capital expenditures</w:t>
      </w:r>
    </w:p>
    <w:p w:rsidR="005815DC" w:rsidRPr="005815DC" w:rsidRDefault="005815DC" w:rsidP="008D0AAC">
      <w:pPr>
        <w:pStyle w:val="ListParagraph"/>
        <w:numPr>
          <w:ilvl w:val="0"/>
          <w:numId w:val="11"/>
        </w:numPr>
        <w:tabs>
          <w:tab w:val="left" w:pos="720"/>
        </w:tabs>
        <w:jc w:val="both"/>
        <w:rPr>
          <w:color w:val="000000" w:themeColor="text1"/>
          <w:sz w:val="22"/>
          <w:szCs w:val="22"/>
          <w:u w:val="single"/>
        </w:rPr>
      </w:pPr>
      <w:r>
        <w:rPr>
          <w:color w:val="000000" w:themeColor="text1"/>
          <w:sz w:val="22"/>
          <w:szCs w:val="22"/>
        </w:rPr>
        <w:t>Reserve account provisions</w:t>
      </w:r>
    </w:p>
    <w:p w:rsidR="005815DC" w:rsidRPr="00C53AE1" w:rsidRDefault="005815DC" w:rsidP="008D0AAC">
      <w:pPr>
        <w:pStyle w:val="ListParagraph"/>
        <w:numPr>
          <w:ilvl w:val="0"/>
          <w:numId w:val="11"/>
        </w:numPr>
        <w:tabs>
          <w:tab w:val="left" w:pos="720"/>
        </w:tabs>
        <w:jc w:val="both"/>
        <w:rPr>
          <w:color w:val="000000" w:themeColor="text1"/>
          <w:sz w:val="22"/>
          <w:szCs w:val="22"/>
          <w:u w:val="single"/>
        </w:rPr>
      </w:pPr>
      <w:r>
        <w:rPr>
          <w:color w:val="000000" w:themeColor="text1"/>
          <w:sz w:val="22"/>
          <w:szCs w:val="22"/>
        </w:rPr>
        <w:t>Loan assumption provision</w:t>
      </w:r>
      <w:r w:rsidR="00703975" w:rsidRPr="00C372CB">
        <w:rPr>
          <w:rStyle w:val="FootnoteReference"/>
          <w:color w:val="000000" w:themeColor="text1"/>
          <w:sz w:val="22"/>
          <w:szCs w:val="22"/>
          <w:vertAlign w:val="superscript"/>
        </w:rPr>
        <w:footnoteReference w:id="1"/>
      </w:r>
    </w:p>
    <w:p w:rsidR="00C53AE1" w:rsidRDefault="00C53AE1" w:rsidP="00C53AE1">
      <w:pPr>
        <w:pStyle w:val="ListParagraph"/>
        <w:tabs>
          <w:tab w:val="left" w:pos="720"/>
        </w:tabs>
        <w:jc w:val="both"/>
        <w:rPr>
          <w:color w:val="000000" w:themeColor="text1"/>
          <w:sz w:val="22"/>
          <w:szCs w:val="22"/>
        </w:rPr>
      </w:pPr>
    </w:p>
    <w:p w:rsidR="00150135" w:rsidRPr="00C372CB" w:rsidRDefault="00703975" w:rsidP="00C372CB">
      <w:pPr>
        <w:pStyle w:val="ListParagraph"/>
        <w:tabs>
          <w:tab w:val="left" w:pos="0"/>
        </w:tabs>
        <w:ind w:left="0"/>
        <w:rPr>
          <w:color w:val="000000" w:themeColor="text1"/>
          <w:sz w:val="22"/>
          <w:szCs w:val="22"/>
          <w:u w:val="single"/>
        </w:rPr>
      </w:pPr>
      <w:r>
        <w:rPr>
          <w:color w:val="000000" w:themeColor="text1"/>
          <w:sz w:val="22"/>
          <w:szCs w:val="22"/>
        </w:rPr>
        <w:tab/>
      </w:r>
      <w:r w:rsidR="00C53AE1">
        <w:rPr>
          <w:color w:val="000000" w:themeColor="text1"/>
          <w:sz w:val="22"/>
          <w:szCs w:val="22"/>
        </w:rPr>
        <w:t>Change pages transmitted along with this memo identify</w:t>
      </w:r>
      <w:r w:rsidR="00B8620D">
        <w:rPr>
          <w:color w:val="000000" w:themeColor="text1"/>
          <w:sz w:val="22"/>
          <w:szCs w:val="22"/>
        </w:rPr>
        <w:t xml:space="preserve"> these additional provisions.  We will also be adding these provisions to our bilateral form Term Loan Agreement in the near term.</w:t>
      </w:r>
      <w:r w:rsidR="00C53AE1">
        <w:rPr>
          <w:color w:val="000000" w:themeColor="text1"/>
          <w:sz w:val="22"/>
          <w:szCs w:val="22"/>
        </w:rPr>
        <w:br/>
      </w:r>
    </w:p>
    <w:p w:rsidR="00150135" w:rsidRPr="00150135" w:rsidRDefault="00150135" w:rsidP="00150135">
      <w:pPr>
        <w:pStyle w:val="ListParagraph"/>
        <w:tabs>
          <w:tab w:val="left" w:pos="1710"/>
        </w:tabs>
        <w:jc w:val="both"/>
        <w:rPr>
          <w:b/>
          <w:color w:val="000000" w:themeColor="text1"/>
          <w:sz w:val="22"/>
          <w:szCs w:val="22"/>
          <w:u w:val="single"/>
        </w:rPr>
      </w:pPr>
    </w:p>
    <w:p w:rsidR="008B0DD4" w:rsidRPr="008B0DD4" w:rsidRDefault="004D3F80" w:rsidP="008B0DD4">
      <w:pPr>
        <w:pStyle w:val="ListParagraph"/>
        <w:numPr>
          <w:ilvl w:val="0"/>
          <w:numId w:val="9"/>
        </w:numPr>
        <w:tabs>
          <w:tab w:val="left" w:pos="1710"/>
        </w:tabs>
        <w:jc w:val="both"/>
        <w:rPr>
          <w:b/>
          <w:color w:val="000000" w:themeColor="text1"/>
          <w:sz w:val="22"/>
          <w:szCs w:val="22"/>
          <w:u w:val="single"/>
        </w:rPr>
      </w:pPr>
      <w:r>
        <w:rPr>
          <w:rFonts w:eastAsia="Batang"/>
          <w:b/>
          <w:color w:val="000000" w:themeColor="text1"/>
          <w:w w:val="0"/>
          <w:sz w:val="22"/>
          <w:szCs w:val="22"/>
        </w:rPr>
        <w:t xml:space="preserve">Subsequent </w:t>
      </w:r>
      <w:r w:rsidR="008B0DD4">
        <w:rPr>
          <w:rFonts w:eastAsia="Batang"/>
          <w:b/>
          <w:color w:val="000000" w:themeColor="text1"/>
          <w:w w:val="0"/>
          <w:sz w:val="22"/>
          <w:szCs w:val="22"/>
        </w:rPr>
        <w:t>Appraisals</w:t>
      </w:r>
    </w:p>
    <w:p w:rsidR="008B0DD4" w:rsidRDefault="008B0DD4" w:rsidP="008B0DD4">
      <w:pPr>
        <w:pStyle w:val="ListParagraph"/>
        <w:tabs>
          <w:tab w:val="left" w:pos="1710"/>
        </w:tabs>
        <w:jc w:val="both"/>
        <w:rPr>
          <w:rFonts w:eastAsia="Batang"/>
          <w:color w:val="000000" w:themeColor="text1"/>
          <w:w w:val="0"/>
          <w:sz w:val="22"/>
          <w:szCs w:val="22"/>
        </w:rPr>
      </w:pPr>
    </w:p>
    <w:p w:rsidR="00B41657" w:rsidRDefault="00B41657" w:rsidP="00B41657">
      <w:pPr>
        <w:pStyle w:val="ListParagraph"/>
        <w:ind w:left="0"/>
        <w:jc w:val="both"/>
        <w:rPr>
          <w:rFonts w:eastAsia="Batang"/>
          <w:color w:val="000000" w:themeColor="text1"/>
          <w:w w:val="0"/>
          <w:sz w:val="22"/>
          <w:szCs w:val="22"/>
        </w:rPr>
      </w:pPr>
      <w:r>
        <w:rPr>
          <w:rFonts w:eastAsia="Batang"/>
          <w:color w:val="000000" w:themeColor="text1"/>
          <w:w w:val="0"/>
          <w:sz w:val="22"/>
          <w:szCs w:val="22"/>
        </w:rPr>
        <w:tab/>
      </w:r>
      <w:r w:rsidR="00D500A4">
        <w:rPr>
          <w:rFonts w:eastAsia="Batang"/>
          <w:color w:val="000000" w:themeColor="text1"/>
          <w:w w:val="0"/>
          <w:sz w:val="22"/>
          <w:szCs w:val="22"/>
        </w:rPr>
        <w:t>In an abundance of caution, w</w:t>
      </w:r>
      <w:r w:rsidR="008B0DD4">
        <w:rPr>
          <w:rFonts w:eastAsia="Batang"/>
          <w:color w:val="000000" w:themeColor="text1"/>
          <w:w w:val="0"/>
          <w:sz w:val="22"/>
          <w:szCs w:val="22"/>
        </w:rPr>
        <w:t xml:space="preserve">e have revised </w:t>
      </w:r>
      <w:r w:rsidR="008B0DD4" w:rsidRPr="008B0DD4">
        <w:rPr>
          <w:rFonts w:eastAsia="Batang"/>
          <w:color w:val="000000" w:themeColor="text1"/>
          <w:w w:val="0"/>
          <w:sz w:val="22"/>
          <w:szCs w:val="22"/>
          <w:u w:val="single"/>
        </w:rPr>
        <w:t>Section 5.13</w:t>
      </w:r>
      <w:r w:rsidR="008B0DD4">
        <w:rPr>
          <w:rFonts w:eastAsia="Batang"/>
          <w:color w:val="000000" w:themeColor="text1"/>
          <w:w w:val="0"/>
          <w:sz w:val="22"/>
          <w:szCs w:val="22"/>
        </w:rPr>
        <w:t xml:space="preserve"> (</w:t>
      </w:r>
      <w:r w:rsidR="008B0DD4">
        <w:rPr>
          <w:rFonts w:eastAsia="Batang"/>
          <w:color w:val="000000" w:themeColor="text1"/>
          <w:w w:val="0"/>
          <w:sz w:val="22"/>
          <w:szCs w:val="22"/>
          <w:u w:val="single"/>
        </w:rPr>
        <w:t>Appraisal</w:t>
      </w:r>
      <w:r w:rsidR="008B0DD4">
        <w:rPr>
          <w:rFonts w:eastAsia="Batang"/>
          <w:color w:val="000000" w:themeColor="text1"/>
          <w:w w:val="0"/>
          <w:sz w:val="22"/>
          <w:szCs w:val="22"/>
        </w:rPr>
        <w:t>) in</w:t>
      </w:r>
      <w:r w:rsidR="00D500A4">
        <w:rPr>
          <w:rFonts w:eastAsia="Batang"/>
          <w:color w:val="000000" w:themeColor="text1"/>
          <w:w w:val="0"/>
          <w:sz w:val="22"/>
          <w:szCs w:val="22"/>
        </w:rPr>
        <w:t xml:space="preserve"> our</w:t>
      </w:r>
      <w:r w:rsidR="008B0DD4">
        <w:rPr>
          <w:rFonts w:eastAsia="Batang"/>
          <w:color w:val="000000" w:themeColor="text1"/>
          <w:w w:val="0"/>
          <w:sz w:val="22"/>
          <w:szCs w:val="22"/>
        </w:rPr>
        <w:t xml:space="preserve"> form Loan Agreements</w:t>
      </w:r>
      <w:r w:rsidR="00D500A4">
        <w:rPr>
          <w:rFonts w:eastAsia="Batang"/>
          <w:color w:val="000000" w:themeColor="text1"/>
          <w:w w:val="0"/>
          <w:sz w:val="22"/>
          <w:szCs w:val="22"/>
        </w:rPr>
        <w:t xml:space="preserve"> to remove the reference to “</w:t>
      </w:r>
      <w:r w:rsidR="00D500A4" w:rsidRPr="00D500A4">
        <w:rPr>
          <w:rFonts w:eastAsia="Batang"/>
          <w:i/>
          <w:color w:val="000000" w:themeColor="text1"/>
          <w:w w:val="0"/>
          <w:sz w:val="22"/>
          <w:szCs w:val="22"/>
        </w:rPr>
        <w:t xml:space="preserve">Borrower shall assist </w:t>
      </w:r>
      <w:r>
        <w:rPr>
          <w:rFonts w:eastAsia="Batang"/>
          <w:i/>
          <w:color w:val="000000" w:themeColor="text1"/>
          <w:w w:val="0"/>
          <w:sz w:val="22"/>
          <w:szCs w:val="22"/>
        </w:rPr>
        <w:t>Lender with</w:t>
      </w:r>
      <w:r w:rsidR="00D500A4" w:rsidRPr="00D500A4">
        <w:rPr>
          <w:rFonts w:eastAsia="Batang"/>
          <w:i/>
          <w:color w:val="000000" w:themeColor="text1"/>
          <w:w w:val="0"/>
          <w:sz w:val="22"/>
          <w:szCs w:val="22"/>
        </w:rPr>
        <w:t xml:space="preserve"> obtaining</w:t>
      </w:r>
      <w:r>
        <w:rPr>
          <w:rFonts w:eastAsia="Batang"/>
          <w:i/>
          <w:color w:val="000000" w:themeColor="text1"/>
          <w:w w:val="0"/>
          <w:sz w:val="22"/>
          <w:szCs w:val="22"/>
        </w:rPr>
        <w:t xml:space="preserve"> a new or updated</w:t>
      </w:r>
      <w:r w:rsidR="00D500A4" w:rsidRPr="00D500A4">
        <w:rPr>
          <w:rFonts w:eastAsia="Batang"/>
          <w:i/>
          <w:color w:val="000000" w:themeColor="text1"/>
          <w:w w:val="0"/>
          <w:sz w:val="22"/>
          <w:szCs w:val="22"/>
        </w:rPr>
        <w:t xml:space="preserve"> appraisal</w:t>
      </w:r>
      <w:r w:rsidR="00D500A4">
        <w:rPr>
          <w:rFonts w:eastAsia="Batang"/>
          <w:color w:val="000000" w:themeColor="text1"/>
          <w:w w:val="0"/>
          <w:sz w:val="22"/>
          <w:szCs w:val="22"/>
        </w:rPr>
        <w:t>”, to avoid any potential inference that the Borrower may play a role in the appraisal ordering process that could be said to contradict the independence requirements of FIRREA.  The revised provision reads as follow:</w:t>
      </w:r>
      <w:bookmarkStart w:id="3" w:name="_DV_C1684"/>
      <w:bookmarkStart w:id="4" w:name="_Toc413787098"/>
    </w:p>
    <w:p w:rsidR="00B41657" w:rsidRDefault="00B41657" w:rsidP="00B41657">
      <w:pPr>
        <w:pStyle w:val="ListParagraph"/>
        <w:ind w:left="0"/>
        <w:jc w:val="both"/>
        <w:rPr>
          <w:rFonts w:eastAsia="Batang"/>
          <w:color w:val="000000" w:themeColor="text1"/>
          <w:w w:val="0"/>
          <w:sz w:val="22"/>
          <w:szCs w:val="22"/>
        </w:rPr>
      </w:pPr>
    </w:p>
    <w:p w:rsidR="00B41657" w:rsidRDefault="00B41657" w:rsidP="00B41657">
      <w:pPr>
        <w:pStyle w:val="ListParagraph"/>
        <w:ind w:left="0"/>
        <w:jc w:val="both"/>
        <w:rPr>
          <w:rFonts w:eastAsia="SimSun"/>
          <w:b/>
          <w:color w:val="1F497D" w:themeColor="text2"/>
          <w:w w:val="0"/>
          <w:sz w:val="22"/>
          <w:szCs w:val="22"/>
        </w:rPr>
      </w:pPr>
      <w:r>
        <w:rPr>
          <w:rFonts w:eastAsia="SimSun"/>
          <w:b/>
          <w:color w:val="1F497D" w:themeColor="text2"/>
          <w:w w:val="0"/>
          <w:sz w:val="22"/>
          <w:szCs w:val="22"/>
        </w:rPr>
        <w:tab/>
      </w:r>
      <w:proofErr w:type="gramStart"/>
      <w:r w:rsidRPr="00B41657">
        <w:rPr>
          <w:rFonts w:eastAsia="SimSun"/>
          <w:b/>
          <w:color w:val="1F497D" w:themeColor="text2"/>
          <w:w w:val="0"/>
          <w:sz w:val="22"/>
          <w:szCs w:val="22"/>
        </w:rPr>
        <w:t>Section 5.13.</w:t>
      </w:r>
      <w:proofErr w:type="gramEnd"/>
      <w:r w:rsidRPr="00B41657">
        <w:rPr>
          <w:rFonts w:eastAsia="SimSun"/>
          <w:b/>
          <w:color w:val="1F497D" w:themeColor="text2"/>
          <w:w w:val="0"/>
          <w:sz w:val="22"/>
          <w:szCs w:val="22"/>
        </w:rPr>
        <w:t xml:space="preserve"> </w:t>
      </w:r>
      <w:r w:rsidRPr="00B41657">
        <w:rPr>
          <w:rFonts w:eastAsia="SimSun"/>
          <w:b/>
          <w:color w:val="1F497D" w:themeColor="text2"/>
          <w:w w:val="0"/>
          <w:sz w:val="22"/>
          <w:szCs w:val="22"/>
        </w:rPr>
        <w:tab/>
      </w:r>
      <w:proofErr w:type="gramStart"/>
      <w:r w:rsidRPr="00B41657">
        <w:rPr>
          <w:rFonts w:eastAsia="SimSun"/>
          <w:b/>
          <w:color w:val="1F497D" w:themeColor="text2"/>
          <w:w w:val="0"/>
          <w:sz w:val="22"/>
          <w:szCs w:val="22"/>
          <w:u w:val="single"/>
        </w:rPr>
        <w:t>Appraisal</w:t>
      </w:r>
      <w:bookmarkStart w:id="5" w:name="_DV_C1685"/>
      <w:bookmarkEnd w:id="3"/>
      <w:bookmarkEnd w:id="4"/>
      <w:r w:rsidRPr="00B41657">
        <w:rPr>
          <w:rFonts w:eastAsia="SimSun"/>
          <w:b/>
          <w:color w:val="1F497D" w:themeColor="text2"/>
          <w:w w:val="0"/>
          <w:sz w:val="22"/>
          <w:szCs w:val="22"/>
          <w:u w:val="single"/>
        </w:rPr>
        <w:t>.</w:t>
      </w:r>
      <w:proofErr w:type="gramEnd"/>
      <w:r w:rsidRPr="00B41657">
        <w:rPr>
          <w:rFonts w:eastAsia="SimSun"/>
          <w:b/>
          <w:color w:val="1F497D" w:themeColor="text2"/>
          <w:w w:val="0"/>
          <w:sz w:val="22"/>
          <w:szCs w:val="22"/>
        </w:rPr>
        <w:t xml:space="preserve">  Lender may from time to time obtain a new or updated Appraisal prepared in accordance with its instructions from a third party appraiser satisfactory to it and engaged by it.  Borrower shall only be obligated to reimburse to Lender the cost of such a new or updated Appraisal once in any twenty-four (24) month period, unless an Event of Default has occurred and is continuing, in which case Borrower shall reimburse to Lender the cost of any and all new and updated Appraisals obtained by Lender.  Lender shall provide a copy of any new or updated Appraisal to Borrower only if Borrower covered the cost of such new or updated Appraisal.</w:t>
      </w:r>
    </w:p>
    <w:p w:rsidR="00806F29" w:rsidRDefault="00806F29" w:rsidP="00B41657">
      <w:pPr>
        <w:pStyle w:val="ListParagraph"/>
        <w:ind w:left="0"/>
        <w:jc w:val="both"/>
        <w:rPr>
          <w:rFonts w:eastAsia="SimSun"/>
          <w:b/>
          <w:color w:val="1F497D" w:themeColor="text2"/>
          <w:w w:val="0"/>
          <w:sz w:val="22"/>
          <w:szCs w:val="22"/>
        </w:rPr>
      </w:pPr>
    </w:p>
    <w:p w:rsidR="003B1890" w:rsidRDefault="003B1890" w:rsidP="00B41657">
      <w:pPr>
        <w:pStyle w:val="ListParagraph"/>
        <w:ind w:left="0"/>
        <w:jc w:val="both"/>
        <w:rPr>
          <w:rFonts w:eastAsia="SimSun"/>
          <w:b/>
          <w:color w:val="1F497D" w:themeColor="text2"/>
          <w:w w:val="0"/>
          <w:sz w:val="22"/>
          <w:szCs w:val="22"/>
        </w:rPr>
      </w:pPr>
    </w:p>
    <w:p w:rsidR="00806F29" w:rsidRPr="00806F29" w:rsidRDefault="00806F29" w:rsidP="00806F29">
      <w:pPr>
        <w:pStyle w:val="ListParagraph"/>
        <w:numPr>
          <w:ilvl w:val="0"/>
          <w:numId w:val="9"/>
        </w:numPr>
        <w:jc w:val="both"/>
        <w:rPr>
          <w:rFonts w:eastAsia="Batang"/>
          <w:b/>
          <w:color w:val="000000" w:themeColor="text1"/>
          <w:w w:val="0"/>
          <w:sz w:val="22"/>
          <w:szCs w:val="22"/>
        </w:rPr>
      </w:pPr>
      <w:r>
        <w:rPr>
          <w:rFonts w:eastAsia="Batang"/>
          <w:b/>
          <w:color w:val="000000" w:themeColor="text1"/>
          <w:w w:val="0"/>
          <w:sz w:val="22"/>
          <w:szCs w:val="22"/>
        </w:rPr>
        <w:t>Construction Close-Out Deliveries and Radon Testing</w:t>
      </w:r>
    </w:p>
    <w:p w:rsidR="00806F29" w:rsidRDefault="00806F29" w:rsidP="00806F29">
      <w:pPr>
        <w:pStyle w:val="ListParagraph"/>
        <w:jc w:val="both"/>
        <w:rPr>
          <w:rFonts w:eastAsia="Batang"/>
          <w:color w:val="000000" w:themeColor="text1"/>
          <w:w w:val="0"/>
          <w:sz w:val="22"/>
          <w:szCs w:val="22"/>
        </w:rPr>
      </w:pPr>
    </w:p>
    <w:p w:rsidR="00806F29" w:rsidRDefault="00806F29" w:rsidP="00806F29">
      <w:pPr>
        <w:pStyle w:val="ListParagraph"/>
        <w:ind w:left="0" w:firstLine="720"/>
        <w:jc w:val="both"/>
        <w:rPr>
          <w:rFonts w:eastAsia="Batang"/>
          <w:color w:val="000000" w:themeColor="text1"/>
          <w:w w:val="0"/>
          <w:sz w:val="22"/>
          <w:szCs w:val="22"/>
        </w:rPr>
      </w:pPr>
      <w:r>
        <w:rPr>
          <w:rFonts w:eastAsia="Batang"/>
          <w:color w:val="000000" w:themeColor="text1"/>
          <w:w w:val="0"/>
          <w:sz w:val="22"/>
          <w:szCs w:val="22"/>
        </w:rPr>
        <w:t xml:space="preserve">We have modified </w:t>
      </w:r>
      <w:r>
        <w:rPr>
          <w:rFonts w:eastAsia="Batang"/>
          <w:color w:val="000000" w:themeColor="text1"/>
          <w:w w:val="0"/>
          <w:sz w:val="22"/>
          <w:szCs w:val="22"/>
          <w:u w:val="single"/>
        </w:rPr>
        <w:t>Section 3.4</w:t>
      </w:r>
      <w:r>
        <w:rPr>
          <w:rFonts w:eastAsia="Batang"/>
          <w:color w:val="000000" w:themeColor="text1"/>
          <w:w w:val="0"/>
          <w:sz w:val="22"/>
          <w:szCs w:val="22"/>
        </w:rPr>
        <w:t xml:space="preserve"> (</w:t>
      </w:r>
      <w:r>
        <w:rPr>
          <w:rFonts w:eastAsia="Batang"/>
          <w:color w:val="000000" w:themeColor="text1"/>
          <w:w w:val="0"/>
          <w:sz w:val="22"/>
          <w:szCs w:val="22"/>
          <w:u w:val="single"/>
        </w:rPr>
        <w:t>Construction Close-Out Deliveries and Conditions Precedent to Final Advance</w:t>
      </w:r>
      <w:r>
        <w:rPr>
          <w:rFonts w:eastAsia="Batang"/>
          <w:color w:val="000000" w:themeColor="text1"/>
          <w:w w:val="0"/>
          <w:sz w:val="22"/>
          <w:szCs w:val="22"/>
        </w:rPr>
        <w:t xml:space="preserve">) as set forth in the attached change pages in order to:  </w:t>
      </w:r>
      <w:r w:rsidR="002B00A7">
        <w:rPr>
          <w:rFonts w:eastAsia="Batang"/>
          <w:color w:val="000000" w:themeColor="text1"/>
          <w:w w:val="0"/>
          <w:sz w:val="22"/>
          <w:szCs w:val="22"/>
        </w:rPr>
        <w:t>(i) provide</w:t>
      </w:r>
      <w:r>
        <w:rPr>
          <w:rFonts w:eastAsia="Batang"/>
          <w:color w:val="000000" w:themeColor="text1"/>
          <w:w w:val="0"/>
          <w:sz w:val="22"/>
          <w:szCs w:val="22"/>
        </w:rPr>
        <w:t xml:space="preserve"> that construction close-out deliveries must be satisfied no later than 60 days following certificate of occupancy (avoiding any creative argument that if a final draw of loan proceeds isn’t taken by a borrower, these conditions never have to be satisfied</w:t>
      </w:r>
      <w:r w:rsidR="002B00A7">
        <w:rPr>
          <w:rFonts w:eastAsia="Batang"/>
          <w:color w:val="000000" w:themeColor="text1"/>
          <w:w w:val="0"/>
          <w:sz w:val="22"/>
          <w:szCs w:val="22"/>
        </w:rPr>
        <w:t>)</w:t>
      </w:r>
      <w:r>
        <w:rPr>
          <w:rFonts w:eastAsia="Batang"/>
          <w:color w:val="000000" w:themeColor="text1"/>
          <w:w w:val="0"/>
          <w:sz w:val="22"/>
          <w:szCs w:val="22"/>
        </w:rPr>
        <w:t>; (ii)</w:t>
      </w:r>
      <w:r w:rsidR="002B00A7">
        <w:rPr>
          <w:rFonts w:eastAsia="Batang"/>
          <w:color w:val="000000" w:themeColor="text1"/>
          <w:w w:val="0"/>
          <w:sz w:val="22"/>
          <w:szCs w:val="22"/>
        </w:rPr>
        <w:t xml:space="preserve"> for projects with multiple buildings, provide that evidence of permanent casualty insurance and a radon testing report (where applicable) shall be satisfied on a per building basis</w:t>
      </w:r>
      <w:r w:rsidR="002B4E42">
        <w:rPr>
          <w:rFonts w:eastAsia="Batang"/>
          <w:color w:val="000000" w:themeColor="text1"/>
          <w:w w:val="0"/>
          <w:sz w:val="22"/>
          <w:szCs w:val="22"/>
        </w:rPr>
        <w:t xml:space="preserve"> (no later than 60 days following c/o for each building)</w:t>
      </w:r>
      <w:r w:rsidR="002B00A7">
        <w:rPr>
          <w:rFonts w:eastAsia="Batang"/>
          <w:color w:val="000000" w:themeColor="text1"/>
          <w:w w:val="0"/>
          <w:sz w:val="22"/>
          <w:szCs w:val="22"/>
        </w:rPr>
        <w:t xml:space="preserve">; and (iii) include a provision requiring radon testing, to be used for multifamily, day care and senior housing projects </w:t>
      </w:r>
      <w:r w:rsidR="002B00A7" w:rsidRPr="002B00A7">
        <w:rPr>
          <w:rFonts w:eastAsia="Batang"/>
          <w:b/>
          <w:color w:val="000000" w:themeColor="text1"/>
          <w:w w:val="0"/>
          <w:sz w:val="22"/>
          <w:szCs w:val="22"/>
        </w:rPr>
        <w:t>IF</w:t>
      </w:r>
      <w:r w:rsidR="002B00A7">
        <w:rPr>
          <w:rFonts w:eastAsia="Batang"/>
          <w:color w:val="000000" w:themeColor="text1"/>
          <w:w w:val="0"/>
          <w:sz w:val="22"/>
          <w:szCs w:val="22"/>
        </w:rPr>
        <w:t xml:space="preserve"> the SunTrust loan closer on a given deal advises that the SunTrust REVAL environmental team is requiring radon testing for a given project.</w:t>
      </w:r>
    </w:p>
    <w:p w:rsidR="00DE19B6" w:rsidRDefault="00DE19B6" w:rsidP="00806F29">
      <w:pPr>
        <w:pStyle w:val="ListParagraph"/>
        <w:ind w:left="0" w:firstLine="720"/>
        <w:jc w:val="both"/>
        <w:rPr>
          <w:rFonts w:eastAsia="Batang"/>
          <w:color w:val="000000" w:themeColor="text1"/>
          <w:w w:val="0"/>
          <w:sz w:val="22"/>
          <w:szCs w:val="22"/>
        </w:rPr>
      </w:pPr>
    </w:p>
    <w:p w:rsidR="004D3F80" w:rsidRDefault="004D3F80" w:rsidP="00806F29">
      <w:pPr>
        <w:pStyle w:val="ListParagraph"/>
        <w:ind w:left="0" w:firstLine="720"/>
        <w:jc w:val="both"/>
        <w:rPr>
          <w:rFonts w:eastAsia="Batang"/>
          <w:color w:val="000000" w:themeColor="text1"/>
          <w:w w:val="0"/>
          <w:sz w:val="22"/>
          <w:szCs w:val="22"/>
        </w:rPr>
      </w:pPr>
    </w:p>
    <w:p w:rsidR="004D3F80" w:rsidRPr="004D3F80" w:rsidRDefault="004D3F80" w:rsidP="004D3F80">
      <w:pPr>
        <w:pStyle w:val="ListParagraph"/>
        <w:numPr>
          <w:ilvl w:val="0"/>
          <w:numId w:val="9"/>
        </w:numPr>
        <w:jc w:val="both"/>
        <w:rPr>
          <w:rFonts w:eastAsia="Batang"/>
          <w:b/>
          <w:color w:val="000000" w:themeColor="text1"/>
          <w:w w:val="0"/>
          <w:sz w:val="22"/>
          <w:szCs w:val="22"/>
        </w:rPr>
      </w:pPr>
      <w:r>
        <w:rPr>
          <w:rFonts w:eastAsia="Batang"/>
          <w:b/>
          <w:color w:val="000000" w:themeColor="text1"/>
          <w:w w:val="0"/>
          <w:sz w:val="22"/>
          <w:szCs w:val="22"/>
        </w:rPr>
        <w:t>Property Inspection Fee</w:t>
      </w:r>
    </w:p>
    <w:p w:rsidR="004D3F80" w:rsidRDefault="004D3F80" w:rsidP="004D3F80">
      <w:pPr>
        <w:pStyle w:val="ListParagraph"/>
        <w:jc w:val="both"/>
        <w:rPr>
          <w:rFonts w:eastAsia="Batang"/>
          <w:color w:val="000000" w:themeColor="text1"/>
          <w:w w:val="0"/>
          <w:sz w:val="22"/>
          <w:szCs w:val="22"/>
        </w:rPr>
      </w:pPr>
    </w:p>
    <w:p w:rsidR="004D3F80" w:rsidRDefault="004D3F80" w:rsidP="004D3F80">
      <w:pPr>
        <w:pStyle w:val="ListParagraph"/>
        <w:ind w:left="0"/>
        <w:jc w:val="both"/>
        <w:rPr>
          <w:sz w:val="22"/>
          <w:szCs w:val="22"/>
        </w:rPr>
      </w:pPr>
      <w:r>
        <w:rPr>
          <w:rFonts w:eastAsia="Batang"/>
          <w:color w:val="000000" w:themeColor="text1"/>
          <w:w w:val="0"/>
          <w:sz w:val="22"/>
          <w:szCs w:val="22"/>
        </w:rPr>
        <w:tab/>
      </w:r>
      <w:r w:rsidRPr="004D3F80">
        <w:rPr>
          <w:rFonts w:eastAsia="Batang"/>
          <w:color w:val="000000" w:themeColor="text1"/>
          <w:w w:val="0"/>
          <w:sz w:val="22"/>
          <w:szCs w:val="22"/>
        </w:rPr>
        <w:t xml:space="preserve">We have updated </w:t>
      </w:r>
      <w:r w:rsidRPr="00737763">
        <w:rPr>
          <w:rFonts w:eastAsia="Batang"/>
          <w:color w:val="000000" w:themeColor="text1"/>
          <w:w w:val="0"/>
          <w:sz w:val="22"/>
          <w:szCs w:val="22"/>
          <w:u w:val="single"/>
        </w:rPr>
        <w:t xml:space="preserve">Section </w:t>
      </w:r>
      <w:proofErr w:type="gramStart"/>
      <w:r w:rsidRPr="00737763">
        <w:rPr>
          <w:rFonts w:eastAsia="Batang"/>
          <w:color w:val="000000" w:themeColor="text1"/>
          <w:w w:val="0"/>
          <w:sz w:val="22"/>
          <w:szCs w:val="22"/>
          <w:u w:val="single"/>
        </w:rPr>
        <w:t>5.9</w:t>
      </w:r>
      <w:r w:rsidR="00737763">
        <w:rPr>
          <w:rFonts w:eastAsia="Batang"/>
          <w:color w:val="000000" w:themeColor="text1"/>
          <w:w w:val="0"/>
          <w:sz w:val="22"/>
          <w:szCs w:val="22"/>
        </w:rPr>
        <w:t xml:space="preserve">  (</w:t>
      </w:r>
      <w:proofErr w:type="gramEnd"/>
      <w:r w:rsidR="00737763">
        <w:rPr>
          <w:rFonts w:eastAsia="Batang"/>
          <w:color w:val="000000" w:themeColor="text1"/>
          <w:w w:val="0"/>
          <w:sz w:val="22"/>
          <w:szCs w:val="22"/>
          <w:u w:val="single"/>
        </w:rPr>
        <w:t>Visitation and Inspection</w:t>
      </w:r>
      <w:r w:rsidR="00737763">
        <w:rPr>
          <w:rFonts w:eastAsia="Batang"/>
          <w:color w:val="000000" w:themeColor="text1"/>
          <w:w w:val="0"/>
          <w:sz w:val="22"/>
          <w:szCs w:val="22"/>
        </w:rPr>
        <w:t>)</w:t>
      </w:r>
      <w:r w:rsidRPr="004D3F80">
        <w:rPr>
          <w:rFonts w:eastAsia="Batang"/>
          <w:color w:val="000000" w:themeColor="text1"/>
          <w:w w:val="0"/>
          <w:sz w:val="22"/>
          <w:szCs w:val="22"/>
        </w:rPr>
        <w:t xml:space="preserve"> in our Term Loan Agreement forms to permit us to charge the borrower a property inspection fee, for one inspection per year, as indicated in yellow highlighting below.  This is not a money-making concept; the intent is that if we choose to hire a local property inspection firm to perform an annual inspection of a project, we will pass along that cost.  If need be in response to borrower comments, we can put a cap on the amount of the fee.  Generally the current cost for this service we have been quoted is about $250</w:t>
      </w:r>
      <w:r w:rsidR="00DE19B6">
        <w:rPr>
          <w:rFonts w:eastAsia="Batang"/>
          <w:color w:val="000000" w:themeColor="text1"/>
          <w:w w:val="0"/>
          <w:sz w:val="22"/>
          <w:szCs w:val="22"/>
        </w:rPr>
        <w:t xml:space="preserve"> per inspection</w:t>
      </w:r>
      <w:r w:rsidRPr="004D3F80">
        <w:rPr>
          <w:rFonts w:eastAsia="Batang"/>
          <w:color w:val="000000" w:themeColor="text1"/>
          <w:w w:val="0"/>
          <w:sz w:val="22"/>
          <w:szCs w:val="22"/>
        </w:rPr>
        <w:t xml:space="preserve"> (although that fee could differ in different markets).  Where needed, we suggest starting with a cap of </w:t>
      </w:r>
      <w:r w:rsidRPr="004D3F80">
        <w:rPr>
          <w:sz w:val="22"/>
          <w:szCs w:val="22"/>
        </w:rPr>
        <w:t>“</w:t>
      </w:r>
      <w:r w:rsidRPr="004D3F80">
        <w:rPr>
          <w:b/>
          <w:bCs/>
          <w:sz w:val="22"/>
          <w:szCs w:val="22"/>
        </w:rPr>
        <w:t>not to exceed $500 per inspection</w:t>
      </w:r>
      <w:r w:rsidRPr="004D3F80">
        <w:rPr>
          <w:sz w:val="22"/>
          <w:szCs w:val="22"/>
        </w:rPr>
        <w:t>.”</w:t>
      </w:r>
      <w:r>
        <w:rPr>
          <w:sz w:val="22"/>
          <w:szCs w:val="22"/>
        </w:rPr>
        <w:t xml:space="preserve">  If really pushed on that amount, we could lower, but the cap should not in any event be less than $250.</w:t>
      </w:r>
      <w:r w:rsidR="00737763">
        <w:rPr>
          <w:sz w:val="22"/>
          <w:szCs w:val="22"/>
        </w:rPr>
        <w:t xml:space="preserve">  This inspection fee will not apply to construction loans.  </w:t>
      </w:r>
    </w:p>
    <w:p w:rsidR="00737763" w:rsidRDefault="00737763" w:rsidP="004D3F80">
      <w:pPr>
        <w:pStyle w:val="ListParagraph"/>
        <w:ind w:left="0"/>
        <w:jc w:val="both"/>
        <w:rPr>
          <w:sz w:val="22"/>
          <w:szCs w:val="22"/>
        </w:rPr>
      </w:pPr>
    </w:p>
    <w:p w:rsidR="00737763" w:rsidRPr="00737763" w:rsidRDefault="00737763" w:rsidP="00737763">
      <w:pPr>
        <w:pStyle w:val="PlainText"/>
        <w:jc w:val="both"/>
        <w:rPr>
          <w:b/>
          <w:color w:val="1F497D" w:themeColor="text2"/>
          <w:sz w:val="22"/>
          <w:szCs w:val="22"/>
        </w:rPr>
      </w:pPr>
      <w:r>
        <w:rPr>
          <w:b/>
          <w:bCs/>
          <w:i/>
          <w:iCs/>
          <w:color w:val="1F497D" w:themeColor="text2"/>
          <w:sz w:val="22"/>
          <w:szCs w:val="22"/>
        </w:rPr>
        <w:lastRenderedPageBreak/>
        <w:tab/>
      </w:r>
      <w:r w:rsidRPr="00737763">
        <w:rPr>
          <w:b/>
          <w:bCs/>
          <w:iCs/>
          <w:color w:val="1F497D" w:themeColor="text2"/>
          <w:sz w:val="22"/>
          <w:szCs w:val="22"/>
        </w:rPr>
        <w:t xml:space="preserve">Section 5.9:  </w:t>
      </w:r>
      <w:r w:rsidRPr="00737763">
        <w:rPr>
          <w:b/>
          <w:bCs/>
          <w:iCs/>
          <w:color w:val="1F497D" w:themeColor="text2"/>
          <w:sz w:val="22"/>
          <w:szCs w:val="22"/>
          <w:u w:val="single"/>
        </w:rPr>
        <w:t>Visitation and Inspection</w:t>
      </w:r>
      <w:r w:rsidRPr="00737763">
        <w:rPr>
          <w:b/>
          <w:bCs/>
          <w:iCs/>
          <w:color w:val="1F497D" w:themeColor="text2"/>
          <w:sz w:val="22"/>
          <w:szCs w:val="22"/>
        </w:rPr>
        <w:t>.</w:t>
      </w:r>
      <w:r w:rsidRPr="00737763">
        <w:rPr>
          <w:b/>
          <w:color w:val="1F497D" w:themeColor="text2"/>
          <w:sz w:val="22"/>
          <w:szCs w:val="22"/>
        </w:rPr>
        <w:t xml:space="preserve">  Borrower will permit any representative of Lender to visit and inspect the Property, to examine its books and records and to make copies and take extracts therefrom, and to discuss its affairs, finances and accounts with any of its officers and with its independent certified public accountants, all at such reasonable times and as often as Lender may reasonably request after reasonable prior notice to Borrower; provided that if an Event of Default has occurred and is continuing, no prior notice shall be required.  </w:t>
      </w:r>
      <w:r w:rsidRPr="00737763">
        <w:rPr>
          <w:b/>
          <w:color w:val="1F497D" w:themeColor="text2"/>
          <w:sz w:val="22"/>
          <w:szCs w:val="22"/>
          <w:highlight w:val="yellow"/>
        </w:rPr>
        <w:t>Borrower shall pay Lender’s customary property inspection fee, for one property inspection performed by or for Lender per calendar year.</w:t>
      </w:r>
      <w:r w:rsidRPr="00737763">
        <w:rPr>
          <w:b/>
          <w:color w:val="1F497D" w:themeColor="text2"/>
          <w:sz w:val="22"/>
          <w:szCs w:val="22"/>
        </w:rPr>
        <w:t>   </w:t>
      </w:r>
    </w:p>
    <w:p w:rsidR="00806F29" w:rsidRPr="00DE19B6" w:rsidRDefault="00806F29" w:rsidP="00DE19B6">
      <w:pPr>
        <w:pStyle w:val="ListParagraph"/>
        <w:tabs>
          <w:tab w:val="left" w:pos="1928"/>
        </w:tabs>
        <w:ind w:left="0" w:firstLine="720"/>
        <w:jc w:val="both"/>
        <w:rPr>
          <w:rFonts w:eastAsia="Batang"/>
          <w:b/>
          <w:color w:val="1F497D" w:themeColor="text2"/>
          <w:w w:val="0"/>
          <w:sz w:val="22"/>
          <w:szCs w:val="22"/>
        </w:rPr>
      </w:pPr>
    </w:p>
    <w:p w:rsidR="00806F29" w:rsidRPr="00806F29" w:rsidRDefault="00806F29" w:rsidP="00806F29">
      <w:pPr>
        <w:pStyle w:val="ListParagraph"/>
        <w:jc w:val="both"/>
        <w:rPr>
          <w:rFonts w:eastAsia="Batang"/>
          <w:b/>
          <w:color w:val="000000" w:themeColor="text1"/>
          <w:w w:val="0"/>
          <w:sz w:val="22"/>
          <w:szCs w:val="22"/>
        </w:rPr>
      </w:pPr>
    </w:p>
    <w:bookmarkEnd w:id="5"/>
    <w:p w:rsidR="00B41657" w:rsidRPr="000F71B4" w:rsidRDefault="00377193" w:rsidP="000F71B4">
      <w:pPr>
        <w:pStyle w:val="ListParagraph"/>
        <w:numPr>
          <w:ilvl w:val="0"/>
          <w:numId w:val="9"/>
        </w:numPr>
        <w:jc w:val="both"/>
        <w:rPr>
          <w:rFonts w:eastAsia="Batang"/>
          <w:b/>
          <w:color w:val="000000" w:themeColor="text1"/>
          <w:w w:val="0"/>
          <w:sz w:val="22"/>
          <w:szCs w:val="22"/>
        </w:rPr>
      </w:pPr>
      <w:r>
        <w:rPr>
          <w:rFonts w:eastAsia="Batang"/>
          <w:b/>
          <w:color w:val="000000" w:themeColor="text1"/>
          <w:w w:val="0"/>
          <w:sz w:val="22"/>
          <w:szCs w:val="22"/>
        </w:rPr>
        <w:t>Federal Funds Rate Definition</w:t>
      </w:r>
    </w:p>
    <w:p w:rsidR="001443C1" w:rsidRPr="00653497" w:rsidRDefault="001443C1" w:rsidP="001443C1">
      <w:pPr>
        <w:tabs>
          <w:tab w:val="left" w:pos="720"/>
          <w:tab w:val="left" w:pos="1710"/>
        </w:tabs>
        <w:jc w:val="both"/>
        <w:rPr>
          <w:b/>
          <w:color w:val="C00000"/>
          <w:sz w:val="22"/>
          <w:szCs w:val="22"/>
        </w:rPr>
      </w:pPr>
    </w:p>
    <w:p w:rsidR="00E86E63" w:rsidRPr="00377193" w:rsidRDefault="00377193" w:rsidP="00797ED3">
      <w:pPr>
        <w:tabs>
          <w:tab w:val="left" w:pos="720"/>
          <w:tab w:val="left" w:pos="1710"/>
        </w:tabs>
        <w:jc w:val="both"/>
        <w:rPr>
          <w:sz w:val="22"/>
          <w:szCs w:val="22"/>
        </w:rPr>
      </w:pPr>
      <w:r>
        <w:rPr>
          <w:sz w:val="22"/>
          <w:szCs w:val="22"/>
        </w:rPr>
        <w:tab/>
        <w:t>Consistent with the market, we have revised our Federal Funds Rate definition to delete the language stricken in red below:</w:t>
      </w:r>
    </w:p>
    <w:p w:rsidR="00E86E63" w:rsidRPr="002A3A17" w:rsidRDefault="00E86E63" w:rsidP="00797ED3">
      <w:pPr>
        <w:tabs>
          <w:tab w:val="left" w:pos="720"/>
          <w:tab w:val="left" w:pos="1710"/>
        </w:tabs>
        <w:jc w:val="both"/>
        <w:rPr>
          <w:sz w:val="22"/>
          <w:szCs w:val="22"/>
        </w:rPr>
      </w:pPr>
    </w:p>
    <w:p w:rsidR="000C433B" w:rsidRDefault="002A3A17" w:rsidP="007E61E3">
      <w:pPr>
        <w:pStyle w:val="BodyText"/>
        <w:spacing w:after="220"/>
        <w:rPr>
          <w:b w:val="0"/>
          <w:sz w:val="22"/>
          <w:szCs w:val="22"/>
        </w:rPr>
      </w:pPr>
      <w:r w:rsidRPr="002A3A17">
        <w:rPr>
          <w:b w:val="0"/>
          <w:sz w:val="22"/>
          <w:szCs w:val="22"/>
        </w:rPr>
        <w:t>“</w:t>
      </w:r>
      <w:r w:rsidRPr="002A3A17">
        <w:rPr>
          <w:b w:val="0"/>
          <w:sz w:val="22"/>
          <w:szCs w:val="22"/>
          <w:u w:val="single"/>
        </w:rPr>
        <w:t>Federal Funds Rate</w:t>
      </w:r>
      <w:r w:rsidRPr="002A3A17">
        <w:rPr>
          <w:b w:val="0"/>
          <w:sz w:val="22"/>
          <w:szCs w:val="22"/>
        </w:rPr>
        <w:t>” shall mean, for any day, the rate per annum (rounded upwards, if necessary, to the next 1/100</w:t>
      </w:r>
      <w:r w:rsidRPr="002A3A17">
        <w:rPr>
          <w:b w:val="0"/>
          <w:sz w:val="22"/>
          <w:szCs w:val="22"/>
          <w:vertAlign w:val="superscript"/>
        </w:rPr>
        <w:t>th</w:t>
      </w:r>
      <w:r w:rsidRPr="002A3A17">
        <w:rPr>
          <w:b w:val="0"/>
          <w:sz w:val="22"/>
          <w:szCs w:val="22"/>
        </w:rPr>
        <w:t xml:space="preserve"> of 1%) equal to the weighted average of the rates on overnight Federal funds transactions with member banks of the Federal Reserve System </w:t>
      </w:r>
      <w:r w:rsidRPr="002A3A17">
        <w:rPr>
          <w:b w:val="0"/>
          <w:strike/>
          <w:color w:val="C00000"/>
          <w:sz w:val="22"/>
          <w:szCs w:val="22"/>
        </w:rPr>
        <w:t>arranged by Federal funds brokers</w:t>
      </w:r>
      <w:r w:rsidRPr="002A3A17">
        <w:rPr>
          <w:b w:val="0"/>
          <w:sz w:val="22"/>
          <w:szCs w:val="22"/>
        </w:rPr>
        <w:t>, as published by the Federal Reserve Bank of New York on the next succeeding Business Day or if such rate is not so published for any Business Day, the Federal Funds Rate for such day shall be the average rounded upwards, if necessary, to the next 1/100th of 1% of the quotations for such day on such transactions received by Lender from three Federal funds brokers of recognized standing selected by Lender.</w:t>
      </w:r>
      <w:r w:rsidRPr="002A3A17">
        <w:rPr>
          <w:b w:val="0"/>
          <w:sz w:val="22"/>
          <w:szCs w:val="22"/>
        </w:rPr>
        <w:tab/>
      </w:r>
    </w:p>
    <w:p w:rsidR="000C433B" w:rsidRPr="000C433B" w:rsidRDefault="000C433B" w:rsidP="000C433B">
      <w:pPr>
        <w:pStyle w:val="BodyText"/>
        <w:numPr>
          <w:ilvl w:val="0"/>
          <w:numId w:val="9"/>
        </w:numPr>
        <w:spacing w:after="220"/>
        <w:rPr>
          <w:sz w:val="22"/>
          <w:szCs w:val="22"/>
        </w:rPr>
      </w:pPr>
      <w:r>
        <w:rPr>
          <w:sz w:val="22"/>
          <w:szCs w:val="22"/>
        </w:rPr>
        <w:t>Syndication Provisions</w:t>
      </w:r>
    </w:p>
    <w:p w:rsidR="006F038D" w:rsidRDefault="00B457A9" w:rsidP="006F038D">
      <w:pPr>
        <w:pStyle w:val="BodyText"/>
        <w:tabs>
          <w:tab w:val="clear" w:pos="720"/>
          <w:tab w:val="left" w:pos="0"/>
        </w:tabs>
        <w:spacing w:after="220"/>
        <w:rPr>
          <w:rFonts w:eastAsia="Batang"/>
          <w:b w:val="0"/>
          <w:color w:val="000000" w:themeColor="text1"/>
          <w:w w:val="0"/>
          <w:sz w:val="22"/>
          <w:szCs w:val="22"/>
        </w:rPr>
      </w:pPr>
      <w:r>
        <w:rPr>
          <w:b w:val="0"/>
          <w:sz w:val="22"/>
          <w:szCs w:val="22"/>
        </w:rPr>
        <w:t xml:space="preserve">             </w:t>
      </w:r>
      <w:r w:rsidR="006F038D">
        <w:rPr>
          <w:b w:val="0"/>
          <w:sz w:val="22"/>
          <w:szCs w:val="22"/>
        </w:rPr>
        <w:t>We have also made a</w:t>
      </w:r>
      <w:r w:rsidR="000C433B">
        <w:rPr>
          <w:b w:val="0"/>
          <w:sz w:val="22"/>
          <w:szCs w:val="22"/>
        </w:rPr>
        <w:t xml:space="preserve"> few updates to syndication provisions in our syndicated form loan agreements</w:t>
      </w:r>
      <w:r w:rsidR="006F038D">
        <w:rPr>
          <w:b w:val="0"/>
          <w:sz w:val="22"/>
          <w:szCs w:val="22"/>
        </w:rPr>
        <w:t xml:space="preserve">, </w:t>
      </w:r>
      <w:r w:rsidR="006F038D" w:rsidRPr="006F038D">
        <w:rPr>
          <w:rFonts w:eastAsia="Batang"/>
          <w:b w:val="0"/>
          <w:color w:val="000000" w:themeColor="text1"/>
          <w:w w:val="0"/>
          <w:sz w:val="22"/>
          <w:szCs w:val="22"/>
        </w:rPr>
        <w:t>as set forth in the attached change pages</w:t>
      </w:r>
      <w:r w:rsidR="006F038D">
        <w:rPr>
          <w:rFonts w:eastAsia="Batang"/>
          <w:b w:val="0"/>
          <w:color w:val="000000" w:themeColor="text1"/>
          <w:w w:val="0"/>
          <w:sz w:val="22"/>
          <w:szCs w:val="22"/>
        </w:rPr>
        <w:t>.</w:t>
      </w:r>
    </w:p>
    <w:p w:rsidR="0071009E" w:rsidRPr="0071009E" w:rsidRDefault="0071009E" w:rsidP="0071009E">
      <w:pPr>
        <w:rPr>
          <w:color w:val="000000"/>
          <w:sz w:val="22"/>
          <w:szCs w:val="22"/>
        </w:rPr>
      </w:pPr>
      <w:r>
        <w:rPr>
          <w:rFonts w:eastAsia="Batang"/>
          <w:color w:val="000000" w:themeColor="text1"/>
          <w:w w:val="0"/>
          <w:sz w:val="22"/>
          <w:szCs w:val="22"/>
        </w:rPr>
        <w:tab/>
      </w:r>
      <w:r w:rsidRPr="0071009E">
        <w:rPr>
          <w:color w:val="000000"/>
          <w:sz w:val="22"/>
          <w:szCs w:val="22"/>
        </w:rPr>
        <w:t>Please let me know if you have questions about these matters.  Thank you for your continued assistance and partnership.</w:t>
      </w:r>
    </w:p>
    <w:p w:rsidR="0071009E" w:rsidRPr="0071009E" w:rsidRDefault="0071009E" w:rsidP="006F038D">
      <w:pPr>
        <w:pStyle w:val="BodyText"/>
        <w:tabs>
          <w:tab w:val="clear" w:pos="720"/>
          <w:tab w:val="left" w:pos="0"/>
        </w:tabs>
        <w:spacing w:after="220"/>
        <w:rPr>
          <w:b w:val="0"/>
          <w:sz w:val="22"/>
          <w:szCs w:val="22"/>
        </w:rPr>
      </w:pPr>
    </w:p>
    <w:p w:rsidR="00AA64AF" w:rsidRPr="00AA64AF" w:rsidRDefault="00AA64AF" w:rsidP="007E61E3">
      <w:pPr>
        <w:pStyle w:val="BodyText"/>
        <w:spacing w:after="220"/>
        <w:rPr>
          <w:rFonts w:ascii="Verdana" w:hAnsi="Verdana"/>
          <w:sz w:val="22"/>
          <w:szCs w:val="22"/>
          <w:u w:val="single"/>
        </w:rPr>
      </w:pPr>
    </w:p>
    <w:sectPr w:rsidR="00AA64AF" w:rsidRPr="00AA64AF" w:rsidSect="003466BD">
      <w:footerReference w:type="default" r:id="rId10"/>
      <w:footerReference w:type="first" r:id="rId11"/>
      <w:endnotePr>
        <w:numFmt w:val="decimal"/>
      </w:endnotePr>
      <w:pgSz w:w="12240" w:h="15840" w:code="1"/>
      <w:pgMar w:top="720" w:right="576" w:bottom="576" w:left="1152" w:header="446" w:footer="605"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02D" w:rsidRDefault="00A7102D">
      <w:r>
        <w:separator/>
      </w:r>
    </w:p>
  </w:endnote>
  <w:endnote w:type="continuationSeparator" w:id="0">
    <w:p w:rsidR="00A7102D" w:rsidRDefault="00A7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89861"/>
      <w:docPartObj>
        <w:docPartGallery w:val="Page Numbers (Bottom of Page)"/>
        <w:docPartUnique/>
      </w:docPartObj>
    </w:sdtPr>
    <w:sdtEndPr/>
    <w:sdtContent>
      <w:p w:rsidR="00C77C71" w:rsidRDefault="009244A7">
        <w:pPr>
          <w:pStyle w:val="Footer"/>
          <w:jc w:val="center"/>
        </w:pPr>
        <w:r>
          <w:fldChar w:fldCharType="begin"/>
        </w:r>
        <w:r>
          <w:instrText xml:space="preserve"> PAGE   \* MERGEFORMAT </w:instrText>
        </w:r>
        <w:r>
          <w:fldChar w:fldCharType="separate"/>
        </w:r>
        <w:r w:rsidR="00822724">
          <w:rPr>
            <w:noProof/>
          </w:rPr>
          <w:t>3</w:t>
        </w:r>
        <w:r>
          <w:rPr>
            <w:noProof/>
          </w:rPr>
          <w:fldChar w:fldCharType="end"/>
        </w:r>
      </w:p>
    </w:sdtContent>
  </w:sdt>
  <w:p w:rsidR="00C77C71" w:rsidRDefault="00C77C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89860"/>
      <w:docPartObj>
        <w:docPartGallery w:val="Page Numbers (Bottom of Page)"/>
        <w:docPartUnique/>
      </w:docPartObj>
    </w:sdtPr>
    <w:sdtEndPr/>
    <w:sdtContent>
      <w:p w:rsidR="00C77C71" w:rsidRDefault="009244A7">
        <w:pPr>
          <w:pStyle w:val="Footer"/>
          <w:jc w:val="center"/>
        </w:pPr>
        <w:r>
          <w:fldChar w:fldCharType="begin"/>
        </w:r>
        <w:r>
          <w:instrText xml:space="preserve"> PAGE   \* MERGEFORMAT </w:instrText>
        </w:r>
        <w:r>
          <w:fldChar w:fldCharType="separate"/>
        </w:r>
        <w:r w:rsidR="00822724">
          <w:rPr>
            <w:noProof/>
          </w:rPr>
          <w:t>1</w:t>
        </w:r>
        <w:r>
          <w:rPr>
            <w:noProof/>
          </w:rPr>
          <w:fldChar w:fldCharType="end"/>
        </w:r>
      </w:p>
    </w:sdtContent>
  </w:sdt>
  <w:p w:rsidR="00C77C71" w:rsidRDefault="00C77C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02D" w:rsidRDefault="00A7102D">
      <w:r>
        <w:separator/>
      </w:r>
    </w:p>
  </w:footnote>
  <w:footnote w:type="continuationSeparator" w:id="0">
    <w:p w:rsidR="00A7102D" w:rsidRDefault="00A7102D">
      <w:r>
        <w:continuationSeparator/>
      </w:r>
    </w:p>
  </w:footnote>
  <w:footnote w:id="1">
    <w:p w:rsidR="00703975" w:rsidRPr="00703975" w:rsidRDefault="00703975">
      <w:pPr>
        <w:pStyle w:val="FootnoteText"/>
      </w:pPr>
      <w:r w:rsidRPr="00703975">
        <w:rPr>
          <w:rStyle w:val="FootnoteReference"/>
          <w:vertAlign w:val="superscript"/>
        </w:rPr>
        <w:footnoteRef/>
      </w:r>
      <w:r w:rsidRPr="00703975">
        <w:rPr>
          <w:vertAlign w:val="superscript"/>
        </w:rPr>
        <w:t xml:space="preserve"> </w:t>
      </w:r>
      <w:r w:rsidRPr="00703975">
        <w:rPr>
          <w:color w:val="000000" w:themeColor="text1"/>
        </w:rPr>
        <w:t xml:space="preserve">Do not include this provision unless it has been negotiated as part of </w:t>
      </w:r>
      <w:r w:rsidR="00BD1673">
        <w:rPr>
          <w:color w:val="000000" w:themeColor="text1"/>
        </w:rPr>
        <w:t xml:space="preserve">the </w:t>
      </w:r>
      <w:r w:rsidRPr="00703975">
        <w:rPr>
          <w:color w:val="000000" w:themeColor="text1"/>
        </w:rPr>
        <w:t>business deal</w:t>
      </w:r>
      <w:r>
        <w:rPr>
          <w:color w:val="000000" w:themeColor="text1"/>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21285E2C"/>
    <w:lvl w:ilvl="0">
      <w:start w:val="1"/>
      <w:numFmt w:val="decimal"/>
      <w:pStyle w:val="ListNumber3"/>
      <w:lvlText w:val="%1."/>
      <w:lvlJc w:val="left"/>
      <w:pPr>
        <w:tabs>
          <w:tab w:val="num" w:pos="1080"/>
        </w:tabs>
        <w:ind w:left="1080" w:hanging="360"/>
      </w:pPr>
    </w:lvl>
  </w:abstractNum>
  <w:abstractNum w:abstractNumId="1">
    <w:nsid w:val="00000003"/>
    <w:multiLevelType w:val="multilevel"/>
    <w:tmpl w:val="78606A1E"/>
    <w:lvl w:ilvl="0">
      <w:start w:val="1"/>
      <w:numFmt w:val="upperRoman"/>
      <w:suff w:val="nothing"/>
      <w:lvlText w:val="ARTICLE %1"/>
      <w:lvlJc w:val="left"/>
      <w:pPr>
        <w:ind w:left="4920"/>
      </w:pPr>
      <w:rPr>
        <w:rFonts w:ascii="Times New Roman Bold" w:hAnsi="Times New Roman Bold" w:cs="Times New Roman" w:hint="default"/>
        <w:b/>
        <w:i w:val="0"/>
        <w:color w:val="auto"/>
        <w:spacing w:val="0"/>
        <w:sz w:val="22"/>
        <w:szCs w:val="22"/>
        <w:u w:val="none"/>
      </w:rPr>
    </w:lvl>
    <w:lvl w:ilvl="1">
      <w:start w:val="1"/>
      <w:numFmt w:val="decimal"/>
      <w:isLgl/>
      <w:lvlText w:val="Section %1.%2."/>
      <w:lvlJc w:val="left"/>
      <w:pPr>
        <w:tabs>
          <w:tab w:val="num" w:pos="720"/>
        </w:tabs>
        <w:ind w:firstLine="720"/>
      </w:pPr>
      <w:rPr>
        <w:rFonts w:ascii="Times New Roman Bold" w:hAnsi="Times New Roman Bold" w:cs="Times New Roman" w:hint="default"/>
        <w:b/>
        <w:i w:val="0"/>
        <w:color w:val="auto"/>
        <w:spacing w:val="0"/>
        <w:sz w:val="24"/>
        <w:szCs w:val="24"/>
        <w:u w:val="none"/>
      </w:rPr>
    </w:lvl>
    <w:lvl w:ilvl="2">
      <w:start w:val="1"/>
      <w:numFmt w:val="lowerLetter"/>
      <w:lvlText w:val="(%3)"/>
      <w:lvlJc w:val="left"/>
      <w:pPr>
        <w:tabs>
          <w:tab w:val="num" w:pos="720"/>
        </w:tabs>
        <w:ind w:firstLine="1440"/>
      </w:pPr>
      <w:rPr>
        <w:rFonts w:ascii="Times New Roman" w:hAnsi="Times New Roman" w:cs="Times New Roman" w:hint="default"/>
        <w:b w:val="0"/>
        <w:i w:val="0"/>
        <w:caps w:val="0"/>
        <w:color w:val="auto"/>
        <w:spacing w:val="0"/>
        <w:sz w:val="22"/>
        <w:szCs w:val="22"/>
        <w:u w:val="none"/>
      </w:rPr>
    </w:lvl>
    <w:lvl w:ilvl="3">
      <w:start w:val="1"/>
      <w:numFmt w:val="lowerRoman"/>
      <w:lvlText w:val="(%4)"/>
      <w:lvlJc w:val="left"/>
      <w:pPr>
        <w:tabs>
          <w:tab w:val="num" w:pos="720"/>
        </w:tabs>
        <w:ind w:left="720" w:firstLine="1440"/>
      </w:pPr>
      <w:rPr>
        <w:rFonts w:ascii="Times New Roman" w:hAnsi="Times New Roman" w:cs="Times New Roman" w:hint="default"/>
        <w:b w:val="0"/>
        <w:i w:val="0"/>
        <w:color w:val="auto"/>
        <w:spacing w:val="0"/>
        <w:sz w:val="22"/>
        <w:szCs w:val="22"/>
        <w:u w:val="none"/>
      </w:rPr>
    </w:lvl>
    <w:lvl w:ilvl="4">
      <w:start w:val="1"/>
      <w:numFmt w:val="decimal"/>
      <w:lvlText w:val="%1.%2.%3.%4.%5"/>
      <w:lvlJc w:val="left"/>
      <w:pPr>
        <w:tabs>
          <w:tab w:val="num" w:pos="1656"/>
        </w:tabs>
        <w:ind w:left="1656" w:hanging="1656"/>
      </w:pPr>
      <w:rPr>
        <w:rFonts w:ascii="Calibri" w:hAnsi="Calibri" w:cs="Times New Roman" w:hint="default"/>
        <w:b w:val="0"/>
        <w:i w:val="0"/>
        <w:color w:val="auto"/>
        <w:spacing w:val="0"/>
        <w:sz w:val="24"/>
        <w:u w:val="none"/>
      </w:rPr>
    </w:lvl>
    <w:lvl w:ilvl="5">
      <w:start w:val="1"/>
      <w:numFmt w:val="decimal"/>
      <w:lvlText w:val="%1.%2.%3.%4.%5.%6"/>
      <w:lvlJc w:val="left"/>
      <w:pPr>
        <w:tabs>
          <w:tab w:val="num" w:pos="1656"/>
        </w:tabs>
        <w:ind w:left="1656" w:hanging="1656"/>
      </w:pPr>
      <w:rPr>
        <w:rFonts w:ascii="Calibri" w:hAnsi="Calibri" w:cs="Times New Roman" w:hint="default"/>
        <w:b w:val="0"/>
        <w:i w:val="0"/>
        <w:color w:val="auto"/>
        <w:spacing w:val="0"/>
        <w:sz w:val="24"/>
        <w:u w:val="none"/>
      </w:rPr>
    </w:lvl>
    <w:lvl w:ilvl="6">
      <w:start w:val="1"/>
      <w:numFmt w:val="decimal"/>
      <w:lvlText w:val="%1.%2.%3.%4.%5.%6.%7"/>
      <w:lvlJc w:val="left"/>
      <w:pPr>
        <w:tabs>
          <w:tab w:val="num" w:pos="1656"/>
        </w:tabs>
        <w:ind w:left="1656" w:hanging="1656"/>
      </w:pPr>
      <w:rPr>
        <w:rFonts w:ascii="Calibri" w:hAnsi="Calibri" w:cs="Times New Roman" w:hint="default"/>
        <w:b w:val="0"/>
        <w:i w:val="0"/>
        <w:color w:val="auto"/>
        <w:spacing w:val="0"/>
        <w:sz w:val="24"/>
        <w:u w:val="none"/>
      </w:rPr>
    </w:lvl>
    <w:lvl w:ilvl="7">
      <w:start w:val="1"/>
      <w:numFmt w:val="decimal"/>
      <w:lvlText w:val="%1.%2.%3.%4.%5.%6.%7.%8"/>
      <w:lvlJc w:val="left"/>
      <w:pPr>
        <w:tabs>
          <w:tab w:val="num" w:pos="1656"/>
        </w:tabs>
        <w:ind w:left="1656" w:hanging="1656"/>
      </w:pPr>
      <w:rPr>
        <w:rFonts w:ascii="Calibri" w:hAnsi="Calibri" w:cs="Times New Roman" w:hint="default"/>
        <w:b w:val="0"/>
        <w:i w:val="0"/>
        <w:color w:val="auto"/>
        <w:spacing w:val="0"/>
        <w:sz w:val="24"/>
        <w:u w:val="none"/>
      </w:rPr>
    </w:lvl>
    <w:lvl w:ilvl="8">
      <w:start w:val="1"/>
      <w:numFmt w:val="decimal"/>
      <w:lvlText w:val="%1.%2.%3.%4.%5.%6.%7.%8.%9"/>
      <w:lvlJc w:val="left"/>
      <w:pPr>
        <w:tabs>
          <w:tab w:val="num" w:pos="1944"/>
        </w:tabs>
        <w:ind w:left="1944" w:hanging="1944"/>
      </w:pPr>
      <w:rPr>
        <w:rFonts w:ascii="Calibri" w:hAnsi="Calibri" w:cs="Times New Roman" w:hint="default"/>
        <w:b w:val="0"/>
        <w:i w:val="0"/>
        <w:color w:val="auto"/>
        <w:spacing w:val="0"/>
        <w:sz w:val="24"/>
        <w:u w:val="none"/>
      </w:rPr>
    </w:lvl>
  </w:abstractNum>
  <w:abstractNum w:abstractNumId="2">
    <w:nsid w:val="1C010E1B"/>
    <w:multiLevelType w:val="hybridMultilevel"/>
    <w:tmpl w:val="98CC6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24227A"/>
    <w:multiLevelType w:val="hybridMultilevel"/>
    <w:tmpl w:val="3098A4C8"/>
    <w:lvl w:ilvl="0" w:tplc="601EC6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B5214A3"/>
    <w:multiLevelType w:val="hybridMultilevel"/>
    <w:tmpl w:val="5052DEEE"/>
    <w:lvl w:ilvl="0" w:tplc="F4DEAC3A">
      <w:start w:val="1"/>
      <w:numFmt w:val="lowerRoman"/>
      <w:lvlText w:val="(%1)"/>
      <w:lvlJc w:val="left"/>
      <w:pPr>
        <w:ind w:left="1890" w:hanging="360"/>
      </w:pPr>
      <w:rPr>
        <w:rFonts w:ascii="Times New Roman" w:eastAsia="Times New Roman" w:hAnsi="Times New Roman" w:cs="Times New Roman"/>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nsid w:val="3CA962B1"/>
    <w:multiLevelType w:val="hybridMultilevel"/>
    <w:tmpl w:val="5E045D08"/>
    <w:lvl w:ilvl="0" w:tplc="CB4E0A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0780D02"/>
    <w:multiLevelType w:val="hybridMultilevel"/>
    <w:tmpl w:val="9F68C33C"/>
    <w:lvl w:ilvl="0" w:tplc="CBE80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EA0290C"/>
    <w:multiLevelType w:val="hybridMultilevel"/>
    <w:tmpl w:val="28C6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327644"/>
    <w:multiLevelType w:val="multilevel"/>
    <w:tmpl w:val="945AD91E"/>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2"/>
        <w:u w:val="none"/>
      </w:rPr>
    </w:lvl>
    <w:lvl w:ilvl="1">
      <w:start w:val="1"/>
      <w:numFmt w:val="decimal"/>
      <w:pStyle w:val="Heading2"/>
      <w:isLgl/>
      <w:lvlText w:val="Section %1.%2."/>
      <w:lvlJc w:val="left"/>
      <w:pPr>
        <w:ind w:left="540" w:firstLine="1440"/>
      </w:pPr>
      <w:rPr>
        <w:rFonts w:hint="default"/>
        <w:b/>
        <w:i w:val="0"/>
        <w:vanish w:val="0"/>
        <w:u w:val="none"/>
      </w:rPr>
    </w:lvl>
    <w:lvl w:ilvl="2">
      <w:start w:val="1"/>
      <w:numFmt w:val="lowerLetter"/>
      <w:pStyle w:val="Heading3"/>
      <w:lvlText w:val="(%3)"/>
      <w:lvlJc w:val="left"/>
      <w:pPr>
        <w:tabs>
          <w:tab w:val="num" w:pos="2160"/>
        </w:tabs>
        <w:ind w:left="0" w:firstLine="1440"/>
      </w:pPr>
      <w:rPr>
        <w:rFonts w:hint="default"/>
        <w:b w:val="0"/>
        <w:i w:val="0"/>
        <w:vanish w:val="0"/>
        <w:u w:val="none"/>
      </w:rPr>
    </w:lvl>
    <w:lvl w:ilvl="3">
      <w:start w:val="1"/>
      <w:numFmt w:val="lowerRoman"/>
      <w:pStyle w:val="Heading4"/>
      <w:lvlText w:val="(%4)"/>
      <w:lvlJc w:val="left"/>
      <w:pPr>
        <w:ind w:left="1440" w:firstLine="720"/>
      </w:pPr>
      <w:rPr>
        <w:rFonts w:hint="default"/>
        <w:b w:val="0"/>
        <w:i w:val="0"/>
        <w:vanish w:val="0"/>
        <w:u w:val="none"/>
      </w:rPr>
    </w:lvl>
    <w:lvl w:ilvl="4">
      <w:start w:val="1"/>
      <w:numFmt w:val="lowerLetter"/>
      <w:pStyle w:val="Heading5"/>
      <w:lvlText w:val="(%5)"/>
      <w:lvlJc w:val="left"/>
      <w:pPr>
        <w:tabs>
          <w:tab w:val="num" w:pos="3600"/>
        </w:tabs>
        <w:ind w:left="0" w:firstLine="2880"/>
      </w:pPr>
      <w:rPr>
        <w:rFonts w:hint="default"/>
        <w:vanish w:val="0"/>
        <w:u w:val="none"/>
      </w:rPr>
    </w:lvl>
    <w:lvl w:ilvl="5">
      <w:start w:val="1"/>
      <w:numFmt w:val="upperRoman"/>
      <w:lvlRestart w:val="0"/>
      <w:pStyle w:val="Heading6"/>
      <w:lvlText w:val="%6."/>
      <w:lvlJc w:val="left"/>
      <w:pPr>
        <w:tabs>
          <w:tab w:val="num" w:pos="1440"/>
        </w:tabs>
        <w:ind w:left="0" w:firstLine="720"/>
      </w:pPr>
      <w:rPr>
        <w:rFonts w:hint="default"/>
        <w:vanish w:val="0"/>
        <w:u w:val="none"/>
      </w:rPr>
    </w:lvl>
    <w:lvl w:ilvl="6">
      <w:start w:val="1"/>
      <w:numFmt w:val="upperLetter"/>
      <w:pStyle w:val="Heading7"/>
      <w:lvlText w:val="%7."/>
      <w:lvlJc w:val="left"/>
      <w:pPr>
        <w:tabs>
          <w:tab w:val="num" w:pos="2160"/>
        </w:tabs>
        <w:ind w:left="0" w:firstLine="1440"/>
      </w:pPr>
      <w:rPr>
        <w:rFonts w:hint="default"/>
        <w:vanish w:val="0"/>
        <w:u w:val="none"/>
      </w:rPr>
    </w:lvl>
    <w:lvl w:ilvl="7">
      <w:start w:val="1"/>
      <w:numFmt w:val="decimal"/>
      <w:pStyle w:val="Heading8"/>
      <w:lvlText w:val="%8."/>
      <w:lvlJc w:val="left"/>
      <w:pPr>
        <w:tabs>
          <w:tab w:val="num" w:pos="2880"/>
        </w:tabs>
        <w:ind w:left="0" w:firstLine="2160"/>
      </w:pPr>
      <w:rPr>
        <w:rFonts w:hint="default"/>
        <w:vanish w:val="0"/>
        <w:u w:val="none"/>
      </w:rPr>
    </w:lvl>
    <w:lvl w:ilvl="8">
      <w:start w:val="1"/>
      <w:numFmt w:val="lowerLetter"/>
      <w:pStyle w:val="Heading9"/>
      <w:lvlText w:val="%9."/>
      <w:lvlJc w:val="left"/>
      <w:pPr>
        <w:tabs>
          <w:tab w:val="num" w:pos="3600"/>
        </w:tabs>
        <w:ind w:left="0" w:firstLine="2880"/>
      </w:pPr>
      <w:rPr>
        <w:rFonts w:hint="default"/>
        <w:vanish w:val="0"/>
        <w:u w:val="none"/>
      </w:rPr>
    </w:lvl>
  </w:abstractNum>
  <w:abstractNum w:abstractNumId="9">
    <w:nsid w:val="6ACF59F9"/>
    <w:multiLevelType w:val="hybridMultilevel"/>
    <w:tmpl w:val="7DE41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F92073"/>
    <w:multiLevelType w:val="hybridMultilevel"/>
    <w:tmpl w:val="51E06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5"/>
  </w:num>
  <w:num w:numId="4">
    <w:abstractNumId w:val="4"/>
  </w:num>
  <w:num w:numId="5">
    <w:abstractNumId w:val="2"/>
  </w:num>
  <w:num w:numId="6">
    <w:abstractNumId w:val="10"/>
  </w:num>
  <w:num w:numId="7">
    <w:abstractNumId w:val="6"/>
  </w:num>
  <w:num w:numId="8">
    <w:abstractNumId w:val="8"/>
  </w:num>
  <w:num w:numId="9">
    <w:abstractNumId w:val="7"/>
  </w:num>
  <w:num w:numId="10">
    <w:abstractNumId w:val="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362"/>
    <w:rsid w:val="00014A98"/>
    <w:rsid w:val="00023347"/>
    <w:rsid w:val="00031D7C"/>
    <w:rsid w:val="00037567"/>
    <w:rsid w:val="00050BC7"/>
    <w:rsid w:val="00072CBF"/>
    <w:rsid w:val="000926AF"/>
    <w:rsid w:val="00094F3A"/>
    <w:rsid w:val="000C11AB"/>
    <w:rsid w:val="000C433B"/>
    <w:rsid w:val="000D5945"/>
    <w:rsid w:val="000E4592"/>
    <w:rsid w:val="000F71B4"/>
    <w:rsid w:val="00122B0A"/>
    <w:rsid w:val="001443C1"/>
    <w:rsid w:val="00150135"/>
    <w:rsid w:val="00162DF3"/>
    <w:rsid w:val="00175F07"/>
    <w:rsid w:val="001854FC"/>
    <w:rsid w:val="00216C81"/>
    <w:rsid w:val="00246362"/>
    <w:rsid w:val="00266545"/>
    <w:rsid w:val="002A3A17"/>
    <w:rsid w:val="002B00A7"/>
    <w:rsid w:val="002B4E42"/>
    <w:rsid w:val="002D1A41"/>
    <w:rsid w:val="002E091E"/>
    <w:rsid w:val="002E0FB7"/>
    <w:rsid w:val="002E6C85"/>
    <w:rsid w:val="002E7F6C"/>
    <w:rsid w:val="00302B39"/>
    <w:rsid w:val="00312625"/>
    <w:rsid w:val="00317830"/>
    <w:rsid w:val="0033367F"/>
    <w:rsid w:val="003466BD"/>
    <w:rsid w:val="00350FC7"/>
    <w:rsid w:val="00353A54"/>
    <w:rsid w:val="003624F5"/>
    <w:rsid w:val="003759A7"/>
    <w:rsid w:val="00375F90"/>
    <w:rsid w:val="00377193"/>
    <w:rsid w:val="0038797B"/>
    <w:rsid w:val="003A63E0"/>
    <w:rsid w:val="003B1890"/>
    <w:rsid w:val="003B2B41"/>
    <w:rsid w:val="003C6E74"/>
    <w:rsid w:val="003D3191"/>
    <w:rsid w:val="004037A0"/>
    <w:rsid w:val="0040740F"/>
    <w:rsid w:val="00410468"/>
    <w:rsid w:val="00421C70"/>
    <w:rsid w:val="00422EAF"/>
    <w:rsid w:val="00433BC2"/>
    <w:rsid w:val="004560D9"/>
    <w:rsid w:val="0046549D"/>
    <w:rsid w:val="004D024B"/>
    <w:rsid w:val="004D3F80"/>
    <w:rsid w:val="004F47E8"/>
    <w:rsid w:val="004F6722"/>
    <w:rsid w:val="005328C1"/>
    <w:rsid w:val="00536ED0"/>
    <w:rsid w:val="00542283"/>
    <w:rsid w:val="00565457"/>
    <w:rsid w:val="005815DC"/>
    <w:rsid w:val="0058423F"/>
    <w:rsid w:val="005C0207"/>
    <w:rsid w:val="00602700"/>
    <w:rsid w:val="0060292C"/>
    <w:rsid w:val="006220FE"/>
    <w:rsid w:val="00623132"/>
    <w:rsid w:val="0065114F"/>
    <w:rsid w:val="00653497"/>
    <w:rsid w:val="00695D00"/>
    <w:rsid w:val="006B6C55"/>
    <w:rsid w:val="006C453F"/>
    <w:rsid w:val="006C66ED"/>
    <w:rsid w:val="006D50C0"/>
    <w:rsid w:val="006F038D"/>
    <w:rsid w:val="006F1805"/>
    <w:rsid w:val="00703975"/>
    <w:rsid w:val="0071009E"/>
    <w:rsid w:val="00737763"/>
    <w:rsid w:val="00750CE5"/>
    <w:rsid w:val="007613D2"/>
    <w:rsid w:val="007660D9"/>
    <w:rsid w:val="00770F7E"/>
    <w:rsid w:val="00777AE3"/>
    <w:rsid w:val="00790487"/>
    <w:rsid w:val="00797ED3"/>
    <w:rsid w:val="007D5846"/>
    <w:rsid w:val="007E61E3"/>
    <w:rsid w:val="007F31E6"/>
    <w:rsid w:val="008013C9"/>
    <w:rsid w:val="00806F29"/>
    <w:rsid w:val="00814075"/>
    <w:rsid w:val="00822724"/>
    <w:rsid w:val="00827DCD"/>
    <w:rsid w:val="0085284F"/>
    <w:rsid w:val="008567C5"/>
    <w:rsid w:val="00862544"/>
    <w:rsid w:val="0087329A"/>
    <w:rsid w:val="008738DE"/>
    <w:rsid w:val="008A182B"/>
    <w:rsid w:val="008B0DD4"/>
    <w:rsid w:val="008C5E63"/>
    <w:rsid w:val="008C6EB1"/>
    <w:rsid w:val="008D0AAC"/>
    <w:rsid w:val="009232E1"/>
    <w:rsid w:val="009244A7"/>
    <w:rsid w:val="00925DCC"/>
    <w:rsid w:val="0093337A"/>
    <w:rsid w:val="009452CA"/>
    <w:rsid w:val="00952E2D"/>
    <w:rsid w:val="009550A2"/>
    <w:rsid w:val="00964991"/>
    <w:rsid w:val="00971833"/>
    <w:rsid w:val="009746F8"/>
    <w:rsid w:val="009802F5"/>
    <w:rsid w:val="009C5DC8"/>
    <w:rsid w:val="00A01C9E"/>
    <w:rsid w:val="00A23787"/>
    <w:rsid w:val="00A242FB"/>
    <w:rsid w:val="00A45234"/>
    <w:rsid w:val="00A60CD8"/>
    <w:rsid w:val="00A7102D"/>
    <w:rsid w:val="00A76476"/>
    <w:rsid w:val="00AA4F40"/>
    <w:rsid w:val="00AA64AF"/>
    <w:rsid w:val="00AB291D"/>
    <w:rsid w:val="00AB698D"/>
    <w:rsid w:val="00AC33C7"/>
    <w:rsid w:val="00AD45FB"/>
    <w:rsid w:val="00AE1247"/>
    <w:rsid w:val="00AE15AF"/>
    <w:rsid w:val="00AF2492"/>
    <w:rsid w:val="00AF448A"/>
    <w:rsid w:val="00B170FA"/>
    <w:rsid w:val="00B25EF5"/>
    <w:rsid w:val="00B30CD7"/>
    <w:rsid w:val="00B41657"/>
    <w:rsid w:val="00B457A9"/>
    <w:rsid w:val="00B53D96"/>
    <w:rsid w:val="00B7426C"/>
    <w:rsid w:val="00B836D0"/>
    <w:rsid w:val="00B8620D"/>
    <w:rsid w:val="00B927BE"/>
    <w:rsid w:val="00BA5EE2"/>
    <w:rsid w:val="00BB4998"/>
    <w:rsid w:val="00BC0189"/>
    <w:rsid w:val="00BD1673"/>
    <w:rsid w:val="00C2117A"/>
    <w:rsid w:val="00C372CB"/>
    <w:rsid w:val="00C53AE1"/>
    <w:rsid w:val="00C6656B"/>
    <w:rsid w:val="00C67505"/>
    <w:rsid w:val="00C70005"/>
    <w:rsid w:val="00C749DF"/>
    <w:rsid w:val="00C77C71"/>
    <w:rsid w:val="00C90516"/>
    <w:rsid w:val="00CA3622"/>
    <w:rsid w:val="00CA521C"/>
    <w:rsid w:val="00CC2805"/>
    <w:rsid w:val="00CF70AA"/>
    <w:rsid w:val="00D1081A"/>
    <w:rsid w:val="00D33352"/>
    <w:rsid w:val="00D337EB"/>
    <w:rsid w:val="00D41248"/>
    <w:rsid w:val="00D44FFF"/>
    <w:rsid w:val="00D500A4"/>
    <w:rsid w:val="00D567E8"/>
    <w:rsid w:val="00D87949"/>
    <w:rsid w:val="00DC3647"/>
    <w:rsid w:val="00DD636B"/>
    <w:rsid w:val="00DE19B6"/>
    <w:rsid w:val="00DE73BD"/>
    <w:rsid w:val="00E008D2"/>
    <w:rsid w:val="00E073C3"/>
    <w:rsid w:val="00E2452E"/>
    <w:rsid w:val="00E74159"/>
    <w:rsid w:val="00E825FB"/>
    <w:rsid w:val="00E8617B"/>
    <w:rsid w:val="00E86E63"/>
    <w:rsid w:val="00E907C6"/>
    <w:rsid w:val="00E96F75"/>
    <w:rsid w:val="00EA155A"/>
    <w:rsid w:val="00EA5D55"/>
    <w:rsid w:val="00EC4FF3"/>
    <w:rsid w:val="00ED37AE"/>
    <w:rsid w:val="00ED67D2"/>
    <w:rsid w:val="00F15467"/>
    <w:rsid w:val="00F3203E"/>
    <w:rsid w:val="00F40A49"/>
    <w:rsid w:val="00F50035"/>
    <w:rsid w:val="00F63E4D"/>
    <w:rsid w:val="00F716E2"/>
    <w:rsid w:val="00F850DF"/>
    <w:rsid w:val="00FC3A10"/>
    <w:rsid w:val="00FD460D"/>
    <w:rsid w:val="00FD6321"/>
    <w:rsid w:val="00FF0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34"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833"/>
    <w:pPr>
      <w:widowControl w:val="0"/>
    </w:pPr>
    <w:rPr>
      <w:snapToGrid w:val="0"/>
      <w:sz w:val="24"/>
    </w:rPr>
  </w:style>
  <w:style w:type="paragraph" w:styleId="Heading1">
    <w:name w:val="heading 1"/>
    <w:aliases w:val="h1"/>
    <w:basedOn w:val="Normal"/>
    <w:next w:val="BodyText"/>
    <w:link w:val="Heading1Char"/>
    <w:qFormat/>
    <w:rsid w:val="001443C1"/>
    <w:pPr>
      <w:keepNext/>
      <w:widowControl/>
      <w:numPr>
        <w:numId w:val="8"/>
      </w:numPr>
      <w:spacing w:after="240"/>
      <w:jc w:val="center"/>
      <w:outlineLvl w:val="0"/>
    </w:pPr>
    <w:rPr>
      <w:rFonts w:ascii="Times New Roman Bold" w:hAnsi="Times New Roman Bold" w:cs="Arial"/>
      <w:b/>
      <w:bCs/>
      <w:caps/>
      <w:snapToGrid/>
      <w:kern w:val="24"/>
      <w:szCs w:val="24"/>
      <w:u w:val="single"/>
    </w:rPr>
  </w:style>
  <w:style w:type="paragraph" w:styleId="Heading2">
    <w:name w:val="heading 2"/>
    <w:aliases w:val="h2"/>
    <w:basedOn w:val="Normal"/>
    <w:next w:val="BodyText"/>
    <w:link w:val="Heading2Char"/>
    <w:qFormat/>
    <w:rsid w:val="001443C1"/>
    <w:pPr>
      <w:widowControl/>
      <w:numPr>
        <w:ilvl w:val="1"/>
        <w:numId w:val="8"/>
      </w:numPr>
      <w:spacing w:after="240"/>
      <w:jc w:val="both"/>
      <w:outlineLvl w:val="1"/>
    </w:pPr>
    <w:rPr>
      <w:rFonts w:ascii="Times New Roman Bold" w:hAnsi="Times New Roman Bold" w:cs="Arial"/>
      <w:b/>
      <w:bCs/>
      <w:iCs/>
      <w:snapToGrid/>
      <w:kern w:val="24"/>
      <w:szCs w:val="24"/>
      <w:u w:val="single"/>
    </w:rPr>
  </w:style>
  <w:style w:type="paragraph" w:styleId="Heading3">
    <w:name w:val="heading 3"/>
    <w:aliases w:val="h3"/>
    <w:basedOn w:val="Normal"/>
    <w:next w:val="BodyText"/>
    <w:link w:val="Heading3Char"/>
    <w:qFormat/>
    <w:rsid w:val="001443C1"/>
    <w:pPr>
      <w:widowControl/>
      <w:numPr>
        <w:ilvl w:val="2"/>
        <w:numId w:val="8"/>
      </w:numPr>
      <w:spacing w:after="240"/>
      <w:jc w:val="both"/>
      <w:outlineLvl w:val="2"/>
    </w:pPr>
    <w:rPr>
      <w:rFonts w:cs="Arial"/>
      <w:bCs/>
      <w:snapToGrid/>
      <w:kern w:val="24"/>
      <w:szCs w:val="24"/>
    </w:rPr>
  </w:style>
  <w:style w:type="paragraph" w:styleId="Heading4">
    <w:name w:val="heading 4"/>
    <w:aliases w:val="h4,Style 57,H4"/>
    <w:basedOn w:val="Normal"/>
    <w:next w:val="BodyText"/>
    <w:link w:val="Heading4Char"/>
    <w:qFormat/>
    <w:rsid w:val="001443C1"/>
    <w:pPr>
      <w:widowControl/>
      <w:numPr>
        <w:ilvl w:val="3"/>
        <w:numId w:val="8"/>
      </w:numPr>
      <w:spacing w:after="240"/>
      <w:jc w:val="both"/>
      <w:outlineLvl w:val="3"/>
    </w:pPr>
    <w:rPr>
      <w:bCs/>
      <w:snapToGrid/>
      <w:kern w:val="24"/>
      <w:szCs w:val="24"/>
    </w:rPr>
  </w:style>
  <w:style w:type="paragraph" w:styleId="Heading5">
    <w:name w:val="heading 5"/>
    <w:aliases w:val="h5,Style 59,H5"/>
    <w:basedOn w:val="Normal"/>
    <w:next w:val="BodyText"/>
    <w:link w:val="Heading5Char"/>
    <w:qFormat/>
    <w:rsid w:val="001443C1"/>
    <w:pPr>
      <w:widowControl/>
      <w:numPr>
        <w:ilvl w:val="4"/>
        <w:numId w:val="8"/>
      </w:numPr>
      <w:spacing w:after="240"/>
      <w:jc w:val="both"/>
      <w:outlineLvl w:val="4"/>
    </w:pPr>
    <w:rPr>
      <w:bCs/>
      <w:iCs/>
      <w:snapToGrid/>
      <w:kern w:val="24"/>
      <w:szCs w:val="24"/>
    </w:rPr>
  </w:style>
  <w:style w:type="paragraph" w:styleId="Heading6">
    <w:name w:val="heading 6"/>
    <w:aliases w:val="h6,Style 60,H6"/>
    <w:basedOn w:val="Normal"/>
    <w:next w:val="BodyText"/>
    <w:link w:val="Heading6Char"/>
    <w:qFormat/>
    <w:rsid w:val="001443C1"/>
    <w:pPr>
      <w:widowControl/>
      <w:numPr>
        <w:ilvl w:val="5"/>
        <w:numId w:val="8"/>
      </w:numPr>
      <w:spacing w:after="240"/>
      <w:jc w:val="both"/>
      <w:outlineLvl w:val="5"/>
    </w:pPr>
    <w:rPr>
      <w:bCs/>
      <w:snapToGrid/>
      <w:kern w:val="24"/>
      <w:szCs w:val="24"/>
    </w:rPr>
  </w:style>
  <w:style w:type="paragraph" w:styleId="Heading7">
    <w:name w:val="heading 7"/>
    <w:aliases w:val="h7,Style 61,H7"/>
    <w:basedOn w:val="Normal"/>
    <w:next w:val="BodyText"/>
    <w:link w:val="Heading7Char"/>
    <w:qFormat/>
    <w:rsid w:val="001443C1"/>
    <w:pPr>
      <w:widowControl/>
      <w:numPr>
        <w:ilvl w:val="6"/>
        <w:numId w:val="8"/>
      </w:numPr>
      <w:spacing w:after="240"/>
      <w:jc w:val="both"/>
      <w:outlineLvl w:val="6"/>
    </w:pPr>
    <w:rPr>
      <w:snapToGrid/>
      <w:kern w:val="24"/>
      <w:szCs w:val="24"/>
    </w:rPr>
  </w:style>
  <w:style w:type="paragraph" w:styleId="Heading8">
    <w:name w:val="heading 8"/>
    <w:aliases w:val="h8,Style 62,H8"/>
    <w:basedOn w:val="Normal"/>
    <w:next w:val="BodyText"/>
    <w:link w:val="Heading8Char"/>
    <w:qFormat/>
    <w:rsid w:val="001443C1"/>
    <w:pPr>
      <w:widowControl/>
      <w:numPr>
        <w:ilvl w:val="7"/>
        <w:numId w:val="8"/>
      </w:numPr>
      <w:spacing w:after="240"/>
      <w:jc w:val="both"/>
      <w:outlineLvl w:val="7"/>
    </w:pPr>
    <w:rPr>
      <w:iCs/>
      <w:snapToGrid/>
      <w:kern w:val="24"/>
      <w:szCs w:val="24"/>
    </w:rPr>
  </w:style>
  <w:style w:type="paragraph" w:styleId="Heading9">
    <w:name w:val="heading 9"/>
    <w:aliases w:val="h9,Style 63,H9"/>
    <w:basedOn w:val="Normal"/>
    <w:next w:val="BodyText"/>
    <w:link w:val="Heading9Char"/>
    <w:uiPriority w:val="34"/>
    <w:qFormat/>
    <w:rsid w:val="001443C1"/>
    <w:pPr>
      <w:widowControl/>
      <w:numPr>
        <w:ilvl w:val="8"/>
        <w:numId w:val="8"/>
      </w:numPr>
      <w:spacing w:after="240"/>
      <w:jc w:val="both"/>
      <w:outlineLvl w:val="8"/>
    </w:pPr>
    <w:rPr>
      <w:rFonts w:cs="Arial"/>
      <w:snapToGrid/>
      <w:kern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971833"/>
  </w:style>
  <w:style w:type="paragraph" w:styleId="Header">
    <w:name w:val="header"/>
    <w:basedOn w:val="Normal"/>
    <w:rsid w:val="00971833"/>
    <w:pPr>
      <w:tabs>
        <w:tab w:val="center" w:pos="4320"/>
        <w:tab w:val="right" w:pos="8640"/>
      </w:tabs>
    </w:pPr>
  </w:style>
  <w:style w:type="paragraph" w:styleId="Footer">
    <w:name w:val="footer"/>
    <w:basedOn w:val="Normal"/>
    <w:link w:val="FooterChar"/>
    <w:uiPriority w:val="99"/>
    <w:rsid w:val="00971833"/>
    <w:pPr>
      <w:tabs>
        <w:tab w:val="center" w:pos="4320"/>
        <w:tab w:val="right" w:pos="8640"/>
      </w:tabs>
    </w:pPr>
  </w:style>
  <w:style w:type="table" w:styleId="TableGrid">
    <w:name w:val="Table Grid"/>
    <w:basedOn w:val="TableNormal"/>
    <w:rsid w:val="00CA521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452CA"/>
    <w:rPr>
      <w:rFonts w:ascii="Tahoma" w:hAnsi="Tahoma" w:cs="Tahoma"/>
      <w:sz w:val="16"/>
      <w:szCs w:val="16"/>
    </w:rPr>
  </w:style>
  <w:style w:type="paragraph" w:styleId="ListParagraph">
    <w:name w:val="List Paragraph"/>
    <w:basedOn w:val="Normal"/>
    <w:uiPriority w:val="34"/>
    <w:qFormat/>
    <w:rsid w:val="00D1081A"/>
    <w:pPr>
      <w:ind w:left="720"/>
      <w:contextualSpacing/>
    </w:pPr>
  </w:style>
  <w:style w:type="paragraph" w:styleId="BodyText">
    <w:name w:val="Body Text"/>
    <w:basedOn w:val="Normal"/>
    <w:link w:val="BodyTextChar"/>
    <w:rsid w:val="00D10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jc w:val="both"/>
    </w:pPr>
    <w:rPr>
      <w:b/>
    </w:rPr>
  </w:style>
  <w:style w:type="character" w:customStyle="1" w:styleId="BodyTextChar">
    <w:name w:val="Body Text Char"/>
    <w:basedOn w:val="DefaultParagraphFont"/>
    <w:link w:val="BodyText"/>
    <w:rsid w:val="00D1081A"/>
    <w:rPr>
      <w:b/>
      <w:snapToGrid w:val="0"/>
      <w:sz w:val="24"/>
    </w:rPr>
  </w:style>
  <w:style w:type="paragraph" w:styleId="FootnoteText">
    <w:name w:val="footnote text"/>
    <w:aliases w:val="fn"/>
    <w:basedOn w:val="Normal"/>
    <w:link w:val="FootnoteTextChar"/>
    <w:uiPriority w:val="99"/>
    <w:rsid w:val="00D1081A"/>
    <w:rPr>
      <w:sz w:val="20"/>
    </w:rPr>
  </w:style>
  <w:style w:type="character" w:customStyle="1" w:styleId="FootnoteTextChar">
    <w:name w:val="Footnote Text Char"/>
    <w:aliases w:val="fn Char"/>
    <w:basedOn w:val="DefaultParagraphFont"/>
    <w:link w:val="FootnoteText"/>
    <w:uiPriority w:val="99"/>
    <w:rsid w:val="00D1081A"/>
    <w:rPr>
      <w:snapToGrid w:val="0"/>
    </w:rPr>
  </w:style>
  <w:style w:type="character" w:customStyle="1" w:styleId="FooterChar">
    <w:name w:val="Footer Char"/>
    <w:basedOn w:val="DefaultParagraphFont"/>
    <w:link w:val="Footer"/>
    <w:uiPriority w:val="99"/>
    <w:rsid w:val="00302B39"/>
    <w:rPr>
      <w:snapToGrid w:val="0"/>
      <w:sz w:val="24"/>
    </w:rPr>
  </w:style>
  <w:style w:type="paragraph" w:styleId="BodyTextIndent3">
    <w:name w:val="Body Text Indent 3"/>
    <w:basedOn w:val="Normal"/>
    <w:link w:val="BodyTextIndent3Char"/>
    <w:rsid w:val="00EA5D55"/>
    <w:pPr>
      <w:spacing w:after="120"/>
      <w:ind w:left="360"/>
    </w:pPr>
    <w:rPr>
      <w:sz w:val="16"/>
      <w:szCs w:val="16"/>
    </w:rPr>
  </w:style>
  <w:style w:type="character" w:customStyle="1" w:styleId="BodyTextIndent3Char">
    <w:name w:val="Body Text Indent 3 Char"/>
    <w:basedOn w:val="DefaultParagraphFont"/>
    <w:link w:val="BodyTextIndent3"/>
    <w:rsid w:val="00EA5D55"/>
    <w:rPr>
      <w:snapToGrid w:val="0"/>
      <w:sz w:val="16"/>
      <w:szCs w:val="16"/>
    </w:rPr>
  </w:style>
  <w:style w:type="character" w:customStyle="1" w:styleId="DeltaViewInsertion">
    <w:name w:val="DeltaView Insertion"/>
    <w:rsid w:val="00EA5D55"/>
    <w:rPr>
      <w:b/>
      <w:color w:val="0000FF"/>
      <w:spacing w:val="0"/>
      <w:u w:val="double"/>
    </w:rPr>
  </w:style>
  <w:style w:type="paragraph" w:customStyle="1" w:styleId="SignatureBlock">
    <w:name w:val="Signature Block"/>
    <w:basedOn w:val="Normal"/>
    <w:rsid w:val="00AF2492"/>
    <w:pPr>
      <w:widowControl/>
      <w:tabs>
        <w:tab w:val="left" w:pos="9360"/>
      </w:tabs>
      <w:spacing w:before="120"/>
      <w:ind w:left="4320"/>
    </w:pPr>
    <w:rPr>
      <w:snapToGrid/>
    </w:rPr>
  </w:style>
  <w:style w:type="paragraph" w:customStyle="1" w:styleId="GE-CoverPage">
    <w:name w:val="GE-CoverPage"/>
    <w:aliases w:val="cp"/>
    <w:basedOn w:val="Title"/>
    <w:rsid w:val="00AF2492"/>
    <w:pPr>
      <w:widowControl/>
      <w:pBdr>
        <w:bottom w:val="none" w:sz="0" w:space="0" w:color="auto"/>
      </w:pBdr>
      <w:spacing w:after="120"/>
      <w:contextualSpacing w:val="0"/>
      <w:jc w:val="center"/>
    </w:pPr>
    <w:rPr>
      <w:rFonts w:ascii="Times New Roman Bold" w:eastAsia="Times New Roman" w:hAnsi="Times New Roman Bold" w:cs="Times New Roman"/>
      <w:b/>
      <w:snapToGrid/>
      <w:color w:val="auto"/>
      <w:spacing w:val="0"/>
      <w:sz w:val="24"/>
      <w:szCs w:val="20"/>
    </w:rPr>
  </w:style>
  <w:style w:type="paragraph" w:customStyle="1" w:styleId="BodyTextNoIndent">
    <w:name w:val="Body Text No Indent"/>
    <w:basedOn w:val="Normal"/>
    <w:rsid w:val="00AF2492"/>
    <w:pPr>
      <w:widowControl/>
      <w:overflowPunct w:val="0"/>
      <w:autoSpaceDE w:val="0"/>
      <w:autoSpaceDN w:val="0"/>
      <w:adjustRightInd w:val="0"/>
      <w:spacing w:after="240"/>
      <w:textAlignment w:val="baseline"/>
    </w:pPr>
    <w:rPr>
      <w:snapToGrid/>
    </w:rPr>
  </w:style>
  <w:style w:type="paragraph" w:styleId="Title">
    <w:name w:val="Title"/>
    <w:basedOn w:val="Normal"/>
    <w:next w:val="Normal"/>
    <w:link w:val="TitleChar"/>
    <w:qFormat/>
    <w:rsid w:val="00AF24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F2492"/>
    <w:rPr>
      <w:rFonts w:asciiTheme="majorHAnsi" w:eastAsiaTheme="majorEastAsia" w:hAnsiTheme="majorHAnsi" w:cstheme="majorBidi"/>
      <w:snapToGrid w:val="0"/>
      <w:color w:val="17365D" w:themeColor="text2" w:themeShade="BF"/>
      <w:spacing w:val="5"/>
      <w:kern w:val="28"/>
      <w:sz w:val="52"/>
      <w:szCs w:val="52"/>
    </w:rPr>
  </w:style>
  <w:style w:type="character" w:styleId="Hyperlink">
    <w:name w:val="Hyperlink"/>
    <w:basedOn w:val="DefaultParagraphFont"/>
    <w:rsid w:val="006C453F"/>
    <w:rPr>
      <w:color w:val="0000FF" w:themeColor="hyperlink"/>
      <w:u w:val="single"/>
    </w:rPr>
  </w:style>
  <w:style w:type="character" w:customStyle="1" w:styleId="Heading1Char">
    <w:name w:val="Heading 1 Char"/>
    <w:aliases w:val="h1 Char"/>
    <w:basedOn w:val="DefaultParagraphFont"/>
    <w:link w:val="Heading1"/>
    <w:rsid w:val="001443C1"/>
    <w:rPr>
      <w:rFonts w:ascii="Times New Roman Bold" w:hAnsi="Times New Roman Bold" w:cs="Arial"/>
      <w:b/>
      <w:bCs/>
      <w:caps/>
      <w:kern w:val="24"/>
      <w:sz w:val="24"/>
      <w:szCs w:val="24"/>
      <w:u w:val="single"/>
    </w:rPr>
  </w:style>
  <w:style w:type="character" w:customStyle="1" w:styleId="Heading2Char">
    <w:name w:val="Heading 2 Char"/>
    <w:aliases w:val="h2 Char"/>
    <w:basedOn w:val="DefaultParagraphFont"/>
    <w:link w:val="Heading2"/>
    <w:rsid w:val="001443C1"/>
    <w:rPr>
      <w:rFonts w:ascii="Times New Roman Bold" w:hAnsi="Times New Roman Bold" w:cs="Arial"/>
      <w:b/>
      <w:bCs/>
      <w:iCs/>
      <w:kern w:val="24"/>
      <w:sz w:val="24"/>
      <w:szCs w:val="24"/>
      <w:u w:val="single"/>
    </w:rPr>
  </w:style>
  <w:style w:type="character" w:customStyle="1" w:styleId="Heading3Char">
    <w:name w:val="Heading 3 Char"/>
    <w:aliases w:val="h3 Char"/>
    <w:basedOn w:val="DefaultParagraphFont"/>
    <w:link w:val="Heading3"/>
    <w:rsid w:val="001443C1"/>
    <w:rPr>
      <w:rFonts w:cs="Arial"/>
      <w:bCs/>
      <w:kern w:val="24"/>
      <w:sz w:val="24"/>
      <w:szCs w:val="24"/>
    </w:rPr>
  </w:style>
  <w:style w:type="character" w:customStyle="1" w:styleId="Heading4Char">
    <w:name w:val="Heading 4 Char"/>
    <w:aliases w:val="h4 Char,Style 57 Char,H4 Char"/>
    <w:basedOn w:val="DefaultParagraphFont"/>
    <w:link w:val="Heading4"/>
    <w:rsid w:val="001443C1"/>
    <w:rPr>
      <w:bCs/>
      <w:kern w:val="24"/>
      <w:sz w:val="24"/>
      <w:szCs w:val="24"/>
    </w:rPr>
  </w:style>
  <w:style w:type="character" w:customStyle="1" w:styleId="Heading5Char">
    <w:name w:val="Heading 5 Char"/>
    <w:aliases w:val="h5 Char,Style 59 Char,H5 Char"/>
    <w:basedOn w:val="DefaultParagraphFont"/>
    <w:link w:val="Heading5"/>
    <w:rsid w:val="001443C1"/>
    <w:rPr>
      <w:bCs/>
      <w:iCs/>
      <w:kern w:val="24"/>
      <w:sz w:val="24"/>
      <w:szCs w:val="24"/>
    </w:rPr>
  </w:style>
  <w:style w:type="character" w:customStyle="1" w:styleId="Heading6Char">
    <w:name w:val="Heading 6 Char"/>
    <w:aliases w:val="h6 Char,Style 60 Char,H6 Char"/>
    <w:basedOn w:val="DefaultParagraphFont"/>
    <w:link w:val="Heading6"/>
    <w:rsid w:val="001443C1"/>
    <w:rPr>
      <w:bCs/>
      <w:kern w:val="24"/>
      <w:sz w:val="24"/>
      <w:szCs w:val="24"/>
    </w:rPr>
  </w:style>
  <w:style w:type="character" w:customStyle="1" w:styleId="Heading7Char">
    <w:name w:val="Heading 7 Char"/>
    <w:aliases w:val="h7 Char,Style 61 Char,H7 Char"/>
    <w:basedOn w:val="DefaultParagraphFont"/>
    <w:link w:val="Heading7"/>
    <w:rsid w:val="001443C1"/>
    <w:rPr>
      <w:kern w:val="24"/>
      <w:sz w:val="24"/>
      <w:szCs w:val="24"/>
    </w:rPr>
  </w:style>
  <w:style w:type="character" w:customStyle="1" w:styleId="Heading8Char">
    <w:name w:val="Heading 8 Char"/>
    <w:aliases w:val="h8 Char,Style 62 Char,H8 Char"/>
    <w:basedOn w:val="DefaultParagraphFont"/>
    <w:link w:val="Heading8"/>
    <w:rsid w:val="001443C1"/>
    <w:rPr>
      <w:iCs/>
      <w:kern w:val="24"/>
      <w:sz w:val="24"/>
      <w:szCs w:val="24"/>
    </w:rPr>
  </w:style>
  <w:style w:type="character" w:customStyle="1" w:styleId="Heading9Char">
    <w:name w:val="Heading 9 Char"/>
    <w:aliases w:val="h9 Char,Style 63 Char,H9 Char"/>
    <w:basedOn w:val="DefaultParagraphFont"/>
    <w:link w:val="Heading9"/>
    <w:uiPriority w:val="34"/>
    <w:rsid w:val="001443C1"/>
    <w:rPr>
      <w:rFonts w:cs="Arial"/>
      <w:kern w:val="24"/>
      <w:sz w:val="24"/>
      <w:szCs w:val="24"/>
    </w:rPr>
  </w:style>
  <w:style w:type="paragraph" w:styleId="ListNumber3">
    <w:name w:val="List Number 3"/>
    <w:basedOn w:val="ListNumber"/>
    <w:rsid w:val="00B41657"/>
    <w:pPr>
      <w:widowControl/>
      <w:numPr>
        <w:numId w:val="10"/>
      </w:numPr>
      <w:tabs>
        <w:tab w:val="clear" w:pos="1080"/>
        <w:tab w:val="num" w:pos="360"/>
      </w:tabs>
      <w:ind w:left="0" w:firstLine="0"/>
      <w:contextualSpacing w:val="0"/>
      <w:jc w:val="both"/>
    </w:pPr>
    <w:rPr>
      <w:snapToGrid/>
    </w:rPr>
  </w:style>
  <w:style w:type="paragraph" w:customStyle="1" w:styleId="Para2">
    <w:name w:val="Para2"/>
    <w:basedOn w:val="Normal"/>
    <w:next w:val="Heading2"/>
    <w:link w:val="Para2Char"/>
    <w:rsid w:val="00B41657"/>
    <w:pPr>
      <w:widowControl/>
      <w:spacing w:after="240"/>
      <w:ind w:firstLine="1440"/>
      <w:jc w:val="both"/>
    </w:pPr>
    <w:rPr>
      <w:snapToGrid/>
    </w:rPr>
  </w:style>
  <w:style w:type="character" w:customStyle="1" w:styleId="Para2Char">
    <w:name w:val="Para2 Char"/>
    <w:link w:val="Para2"/>
    <w:rsid w:val="00B41657"/>
    <w:rPr>
      <w:sz w:val="24"/>
    </w:rPr>
  </w:style>
  <w:style w:type="paragraph" w:styleId="ListNumber">
    <w:name w:val="List Number"/>
    <w:basedOn w:val="Normal"/>
    <w:rsid w:val="00B41657"/>
    <w:pPr>
      <w:tabs>
        <w:tab w:val="num" w:pos="360"/>
      </w:tabs>
      <w:contextualSpacing/>
    </w:pPr>
  </w:style>
  <w:style w:type="paragraph" w:styleId="PlainText">
    <w:name w:val="Plain Text"/>
    <w:basedOn w:val="Normal"/>
    <w:link w:val="PlainTextChar"/>
    <w:uiPriority w:val="99"/>
    <w:unhideWhenUsed/>
    <w:rsid w:val="00737763"/>
    <w:pPr>
      <w:widowControl/>
    </w:pPr>
    <w:rPr>
      <w:rFonts w:eastAsiaTheme="minorHAnsi"/>
      <w:snapToGrid/>
      <w:szCs w:val="24"/>
    </w:rPr>
  </w:style>
  <w:style w:type="character" w:customStyle="1" w:styleId="PlainTextChar">
    <w:name w:val="Plain Text Char"/>
    <w:basedOn w:val="DefaultParagraphFont"/>
    <w:link w:val="PlainText"/>
    <w:uiPriority w:val="99"/>
    <w:rsid w:val="00737763"/>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34"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833"/>
    <w:pPr>
      <w:widowControl w:val="0"/>
    </w:pPr>
    <w:rPr>
      <w:snapToGrid w:val="0"/>
      <w:sz w:val="24"/>
    </w:rPr>
  </w:style>
  <w:style w:type="paragraph" w:styleId="Heading1">
    <w:name w:val="heading 1"/>
    <w:aliases w:val="h1"/>
    <w:basedOn w:val="Normal"/>
    <w:next w:val="BodyText"/>
    <w:link w:val="Heading1Char"/>
    <w:qFormat/>
    <w:rsid w:val="001443C1"/>
    <w:pPr>
      <w:keepNext/>
      <w:widowControl/>
      <w:numPr>
        <w:numId w:val="8"/>
      </w:numPr>
      <w:spacing w:after="240"/>
      <w:jc w:val="center"/>
      <w:outlineLvl w:val="0"/>
    </w:pPr>
    <w:rPr>
      <w:rFonts w:ascii="Times New Roman Bold" w:hAnsi="Times New Roman Bold" w:cs="Arial"/>
      <w:b/>
      <w:bCs/>
      <w:caps/>
      <w:snapToGrid/>
      <w:kern w:val="24"/>
      <w:szCs w:val="24"/>
      <w:u w:val="single"/>
    </w:rPr>
  </w:style>
  <w:style w:type="paragraph" w:styleId="Heading2">
    <w:name w:val="heading 2"/>
    <w:aliases w:val="h2"/>
    <w:basedOn w:val="Normal"/>
    <w:next w:val="BodyText"/>
    <w:link w:val="Heading2Char"/>
    <w:qFormat/>
    <w:rsid w:val="001443C1"/>
    <w:pPr>
      <w:widowControl/>
      <w:numPr>
        <w:ilvl w:val="1"/>
        <w:numId w:val="8"/>
      </w:numPr>
      <w:spacing w:after="240"/>
      <w:jc w:val="both"/>
      <w:outlineLvl w:val="1"/>
    </w:pPr>
    <w:rPr>
      <w:rFonts w:ascii="Times New Roman Bold" w:hAnsi="Times New Roman Bold" w:cs="Arial"/>
      <w:b/>
      <w:bCs/>
      <w:iCs/>
      <w:snapToGrid/>
      <w:kern w:val="24"/>
      <w:szCs w:val="24"/>
      <w:u w:val="single"/>
    </w:rPr>
  </w:style>
  <w:style w:type="paragraph" w:styleId="Heading3">
    <w:name w:val="heading 3"/>
    <w:aliases w:val="h3"/>
    <w:basedOn w:val="Normal"/>
    <w:next w:val="BodyText"/>
    <w:link w:val="Heading3Char"/>
    <w:qFormat/>
    <w:rsid w:val="001443C1"/>
    <w:pPr>
      <w:widowControl/>
      <w:numPr>
        <w:ilvl w:val="2"/>
        <w:numId w:val="8"/>
      </w:numPr>
      <w:spacing w:after="240"/>
      <w:jc w:val="both"/>
      <w:outlineLvl w:val="2"/>
    </w:pPr>
    <w:rPr>
      <w:rFonts w:cs="Arial"/>
      <w:bCs/>
      <w:snapToGrid/>
      <w:kern w:val="24"/>
      <w:szCs w:val="24"/>
    </w:rPr>
  </w:style>
  <w:style w:type="paragraph" w:styleId="Heading4">
    <w:name w:val="heading 4"/>
    <w:aliases w:val="h4,Style 57,H4"/>
    <w:basedOn w:val="Normal"/>
    <w:next w:val="BodyText"/>
    <w:link w:val="Heading4Char"/>
    <w:qFormat/>
    <w:rsid w:val="001443C1"/>
    <w:pPr>
      <w:widowControl/>
      <w:numPr>
        <w:ilvl w:val="3"/>
        <w:numId w:val="8"/>
      </w:numPr>
      <w:spacing w:after="240"/>
      <w:jc w:val="both"/>
      <w:outlineLvl w:val="3"/>
    </w:pPr>
    <w:rPr>
      <w:bCs/>
      <w:snapToGrid/>
      <w:kern w:val="24"/>
      <w:szCs w:val="24"/>
    </w:rPr>
  </w:style>
  <w:style w:type="paragraph" w:styleId="Heading5">
    <w:name w:val="heading 5"/>
    <w:aliases w:val="h5,Style 59,H5"/>
    <w:basedOn w:val="Normal"/>
    <w:next w:val="BodyText"/>
    <w:link w:val="Heading5Char"/>
    <w:qFormat/>
    <w:rsid w:val="001443C1"/>
    <w:pPr>
      <w:widowControl/>
      <w:numPr>
        <w:ilvl w:val="4"/>
        <w:numId w:val="8"/>
      </w:numPr>
      <w:spacing w:after="240"/>
      <w:jc w:val="both"/>
      <w:outlineLvl w:val="4"/>
    </w:pPr>
    <w:rPr>
      <w:bCs/>
      <w:iCs/>
      <w:snapToGrid/>
      <w:kern w:val="24"/>
      <w:szCs w:val="24"/>
    </w:rPr>
  </w:style>
  <w:style w:type="paragraph" w:styleId="Heading6">
    <w:name w:val="heading 6"/>
    <w:aliases w:val="h6,Style 60,H6"/>
    <w:basedOn w:val="Normal"/>
    <w:next w:val="BodyText"/>
    <w:link w:val="Heading6Char"/>
    <w:qFormat/>
    <w:rsid w:val="001443C1"/>
    <w:pPr>
      <w:widowControl/>
      <w:numPr>
        <w:ilvl w:val="5"/>
        <w:numId w:val="8"/>
      </w:numPr>
      <w:spacing w:after="240"/>
      <w:jc w:val="both"/>
      <w:outlineLvl w:val="5"/>
    </w:pPr>
    <w:rPr>
      <w:bCs/>
      <w:snapToGrid/>
      <w:kern w:val="24"/>
      <w:szCs w:val="24"/>
    </w:rPr>
  </w:style>
  <w:style w:type="paragraph" w:styleId="Heading7">
    <w:name w:val="heading 7"/>
    <w:aliases w:val="h7,Style 61,H7"/>
    <w:basedOn w:val="Normal"/>
    <w:next w:val="BodyText"/>
    <w:link w:val="Heading7Char"/>
    <w:qFormat/>
    <w:rsid w:val="001443C1"/>
    <w:pPr>
      <w:widowControl/>
      <w:numPr>
        <w:ilvl w:val="6"/>
        <w:numId w:val="8"/>
      </w:numPr>
      <w:spacing w:after="240"/>
      <w:jc w:val="both"/>
      <w:outlineLvl w:val="6"/>
    </w:pPr>
    <w:rPr>
      <w:snapToGrid/>
      <w:kern w:val="24"/>
      <w:szCs w:val="24"/>
    </w:rPr>
  </w:style>
  <w:style w:type="paragraph" w:styleId="Heading8">
    <w:name w:val="heading 8"/>
    <w:aliases w:val="h8,Style 62,H8"/>
    <w:basedOn w:val="Normal"/>
    <w:next w:val="BodyText"/>
    <w:link w:val="Heading8Char"/>
    <w:qFormat/>
    <w:rsid w:val="001443C1"/>
    <w:pPr>
      <w:widowControl/>
      <w:numPr>
        <w:ilvl w:val="7"/>
        <w:numId w:val="8"/>
      </w:numPr>
      <w:spacing w:after="240"/>
      <w:jc w:val="both"/>
      <w:outlineLvl w:val="7"/>
    </w:pPr>
    <w:rPr>
      <w:iCs/>
      <w:snapToGrid/>
      <w:kern w:val="24"/>
      <w:szCs w:val="24"/>
    </w:rPr>
  </w:style>
  <w:style w:type="paragraph" w:styleId="Heading9">
    <w:name w:val="heading 9"/>
    <w:aliases w:val="h9,Style 63,H9"/>
    <w:basedOn w:val="Normal"/>
    <w:next w:val="BodyText"/>
    <w:link w:val="Heading9Char"/>
    <w:uiPriority w:val="34"/>
    <w:qFormat/>
    <w:rsid w:val="001443C1"/>
    <w:pPr>
      <w:widowControl/>
      <w:numPr>
        <w:ilvl w:val="8"/>
        <w:numId w:val="8"/>
      </w:numPr>
      <w:spacing w:after="240"/>
      <w:jc w:val="both"/>
      <w:outlineLvl w:val="8"/>
    </w:pPr>
    <w:rPr>
      <w:rFonts w:cs="Arial"/>
      <w:snapToGrid/>
      <w:kern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971833"/>
  </w:style>
  <w:style w:type="paragraph" w:styleId="Header">
    <w:name w:val="header"/>
    <w:basedOn w:val="Normal"/>
    <w:rsid w:val="00971833"/>
    <w:pPr>
      <w:tabs>
        <w:tab w:val="center" w:pos="4320"/>
        <w:tab w:val="right" w:pos="8640"/>
      </w:tabs>
    </w:pPr>
  </w:style>
  <w:style w:type="paragraph" w:styleId="Footer">
    <w:name w:val="footer"/>
    <w:basedOn w:val="Normal"/>
    <w:link w:val="FooterChar"/>
    <w:uiPriority w:val="99"/>
    <w:rsid w:val="00971833"/>
    <w:pPr>
      <w:tabs>
        <w:tab w:val="center" w:pos="4320"/>
        <w:tab w:val="right" w:pos="8640"/>
      </w:tabs>
    </w:pPr>
  </w:style>
  <w:style w:type="table" w:styleId="TableGrid">
    <w:name w:val="Table Grid"/>
    <w:basedOn w:val="TableNormal"/>
    <w:rsid w:val="00CA521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452CA"/>
    <w:rPr>
      <w:rFonts w:ascii="Tahoma" w:hAnsi="Tahoma" w:cs="Tahoma"/>
      <w:sz w:val="16"/>
      <w:szCs w:val="16"/>
    </w:rPr>
  </w:style>
  <w:style w:type="paragraph" w:styleId="ListParagraph">
    <w:name w:val="List Paragraph"/>
    <w:basedOn w:val="Normal"/>
    <w:uiPriority w:val="34"/>
    <w:qFormat/>
    <w:rsid w:val="00D1081A"/>
    <w:pPr>
      <w:ind w:left="720"/>
      <w:contextualSpacing/>
    </w:pPr>
  </w:style>
  <w:style w:type="paragraph" w:styleId="BodyText">
    <w:name w:val="Body Text"/>
    <w:basedOn w:val="Normal"/>
    <w:link w:val="BodyTextChar"/>
    <w:rsid w:val="00D10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jc w:val="both"/>
    </w:pPr>
    <w:rPr>
      <w:b/>
    </w:rPr>
  </w:style>
  <w:style w:type="character" w:customStyle="1" w:styleId="BodyTextChar">
    <w:name w:val="Body Text Char"/>
    <w:basedOn w:val="DefaultParagraphFont"/>
    <w:link w:val="BodyText"/>
    <w:rsid w:val="00D1081A"/>
    <w:rPr>
      <w:b/>
      <w:snapToGrid w:val="0"/>
      <w:sz w:val="24"/>
    </w:rPr>
  </w:style>
  <w:style w:type="paragraph" w:styleId="FootnoteText">
    <w:name w:val="footnote text"/>
    <w:aliases w:val="fn"/>
    <w:basedOn w:val="Normal"/>
    <w:link w:val="FootnoteTextChar"/>
    <w:uiPriority w:val="99"/>
    <w:rsid w:val="00D1081A"/>
    <w:rPr>
      <w:sz w:val="20"/>
    </w:rPr>
  </w:style>
  <w:style w:type="character" w:customStyle="1" w:styleId="FootnoteTextChar">
    <w:name w:val="Footnote Text Char"/>
    <w:aliases w:val="fn Char"/>
    <w:basedOn w:val="DefaultParagraphFont"/>
    <w:link w:val="FootnoteText"/>
    <w:uiPriority w:val="99"/>
    <w:rsid w:val="00D1081A"/>
    <w:rPr>
      <w:snapToGrid w:val="0"/>
    </w:rPr>
  </w:style>
  <w:style w:type="character" w:customStyle="1" w:styleId="FooterChar">
    <w:name w:val="Footer Char"/>
    <w:basedOn w:val="DefaultParagraphFont"/>
    <w:link w:val="Footer"/>
    <w:uiPriority w:val="99"/>
    <w:rsid w:val="00302B39"/>
    <w:rPr>
      <w:snapToGrid w:val="0"/>
      <w:sz w:val="24"/>
    </w:rPr>
  </w:style>
  <w:style w:type="paragraph" w:styleId="BodyTextIndent3">
    <w:name w:val="Body Text Indent 3"/>
    <w:basedOn w:val="Normal"/>
    <w:link w:val="BodyTextIndent3Char"/>
    <w:rsid w:val="00EA5D55"/>
    <w:pPr>
      <w:spacing w:after="120"/>
      <w:ind w:left="360"/>
    </w:pPr>
    <w:rPr>
      <w:sz w:val="16"/>
      <w:szCs w:val="16"/>
    </w:rPr>
  </w:style>
  <w:style w:type="character" w:customStyle="1" w:styleId="BodyTextIndent3Char">
    <w:name w:val="Body Text Indent 3 Char"/>
    <w:basedOn w:val="DefaultParagraphFont"/>
    <w:link w:val="BodyTextIndent3"/>
    <w:rsid w:val="00EA5D55"/>
    <w:rPr>
      <w:snapToGrid w:val="0"/>
      <w:sz w:val="16"/>
      <w:szCs w:val="16"/>
    </w:rPr>
  </w:style>
  <w:style w:type="character" w:customStyle="1" w:styleId="DeltaViewInsertion">
    <w:name w:val="DeltaView Insertion"/>
    <w:rsid w:val="00EA5D55"/>
    <w:rPr>
      <w:b/>
      <w:color w:val="0000FF"/>
      <w:spacing w:val="0"/>
      <w:u w:val="double"/>
    </w:rPr>
  </w:style>
  <w:style w:type="paragraph" w:customStyle="1" w:styleId="SignatureBlock">
    <w:name w:val="Signature Block"/>
    <w:basedOn w:val="Normal"/>
    <w:rsid w:val="00AF2492"/>
    <w:pPr>
      <w:widowControl/>
      <w:tabs>
        <w:tab w:val="left" w:pos="9360"/>
      </w:tabs>
      <w:spacing w:before="120"/>
      <w:ind w:left="4320"/>
    </w:pPr>
    <w:rPr>
      <w:snapToGrid/>
    </w:rPr>
  </w:style>
  <w:style w:type="paragraph" w:customStyle="1" w:styleId="GE-CoverPage">
    <w:name w:val="GE-CoverPage"/>
    <w:aliases w:val="cp"/>
    <w:basedOn w:val="Title"/>
    <w:rsid w:val="00AF2492"/>
    <w:pPr>
      <w:widowControl/>
      <w:pBdr>
        <w:bottom w:val="none" w:sz="0" w:space="0" w:color="auto"/>
      </w:pBdr>
      <w:spacing w:after="120"/>
      <w:contextualSpacing w:val="0"/>
      <w:jc w:val="center"/>
    </w:pPr>
    <w:rPr>
      <w:rFonts w:ascii="Times New Roman Bold" w:eastAsia="Times New Roman" w:hAnsi="Times New Roman Bold" w:cs="Times New Roman"/>
      <w:b/>
      <w:snapToGrid/>
      <w:color w:val="auto"/>
      <w:spacing w:val="0"/>
      <w:sz w:val="24"/>
      <w:szCs w:val="20"/>
    </w:rPr>
  </w:style>
  <w:style w:type="paragraph" w:customStyle="1" w:styleId="BodyTextNoIndent">
    <w:name w:val="Body Text No Indent"/>
    <w:basedOn w:val="Normal"/>
    <w:rsid w:val="00AF2492"/>
    <w:pPr>
      <w:widowControl/>
      <w:overflowPunct w:val="0"/>
      <w:autoSpaceDE w:val="0"/>
      <w:autoSpaceDN w:val="0"/>
      <w:adjustRightInd w:val="0"/>
      <w:spacing w:after="240"/>
      <w:textAlignment w:val="baseline"/>
    </w:pPr>
    <w:rPr>
      <w:snapToGrid/>
    </w:rPr>
  </w:style>
  <w:style w:type="paragraph" w:styleId="Title">
    <w:name w:val="Title"/>
    <w:basedOn w:val="Normal"/>
    <w:next w:val="Normal"/>
    <w:link w:val="TitleChar"/>
    <w:qFormat/>
    <w:rsid w:val="00AF24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F2492"/>
    <w:rPr>
      <w:rFonts w:asciiTheme="majorHAnsi" w:eastAsiaTheme="majorEastAsia" w:hAnsiTheme="majorHAnsi" w:cstheme="majorBidi"/>
      <w:snapToGrid w:val="0"/>
      <w:color w:val="17365D" w:themeColor="text2" w:themeShade="BF"/>
      <w:spacing w:val="5"/>
      <w:kern w:val="28"/>
      <w:sz w:val="52"/>
      <w:szCs w:val="52"/>
    </w:rPr>
  </w:style>
  <w:style w:type="character" w:styleId="Hyperlink">
    <w:name w:val="Hyperlink"/>
    <w:basedOn w:val="DefaultParagraphFont"/>
    <w:rsid w:val="006C453F"/>
    <w:rPr>
      <w:color w:val="0000FF" w:themeColor="hyperlink"/>
      <w:u w:val="single"/>
    </w:rPr>
  </w:style>
  <w:style w:type="character" w:customStyle="1" w:styleId="Heading1Char">
    <w:name w:val="Heading 1 Char"/>
    <w:aliases w:val="h1 Char"/>
    <w:basedOn w:val="DefaultParagraphFont"/>
    <w:link w:val="Heading1"/>
    <w:rsid w:val="001443C1"/>
    <w:rPr>
      <w:rFonts w:ascii="Times New Roman Bold" w:hAnsi="Times New Roman Bold" w:cs="Arial"/>
      <w:b/>
      <w:bCs/>
      <w:caps/>
      <w:kern w:val="24"/>
      <w:sz w:val="24"/>
      <w:szCs w:val="24"/>
      <w:u w:val="single"/>
    </w:rPr>
  </w:style>
  <w:style w:type="character" w:customStyle="1" w:styleId="Heading2Char">
    <w:name w:val="Heading 2 Char"/>
    <w:aliases w:val="h2 Char"/>
    <w:basedOn w:val="DefaultParagraphFont"/>
    <w:link w:val="Heading2"/>
    <w:rsid w:val="001443C1"/>
    <w:rPr>
      <w:rFonts w:ascii="Times New Roman Bold" w:hAnsi="Times New Roman Bold" w:cs="Arial"/>
      <w:b/>
      <w:bCs/>
      <w:iCs/>
      <w:kern w:val="24"/>
      <w:sz w:val="24"/>
      <w:szCs w:val="24"/>
      <w:u w:val="single"/>
    </w:rPr>
  </w:style>
  <w:style w:type="character" w:customStyle="1" w:styleId="Heading3Char">
    <w:name w:val="Heading 3 Char"/>
    <w:aliases w:val="h3 Char"/>
    <w:basedOn w:val="DefaultParagraphFont"/>
    <w:link w:val="Heading3"/>
    <w:rsid w:val="001443C1"/>
    <w:rPr>
      <w:rFonts w:cs="Arial"/>
      <w:bCs/>
      <w:kern w:val="24"/>
      <w:sz w:val="24"/>
      <w:szCs w:val="24"/>
    </w:rPr>
  </w:style>
  <w:style w:type="character" w:customStyle="1" w:styleId="Heading4Char">
    <w:name w:val="Heading 4 Char"/>
    <w:aliases w:val="h4 Char,Style 57 Char,H4 Char"/>
    <w:basedOn w:val="DefaultParagraphFont"/>
    <w:link w:val="Heading4"/>
    <w:rsid w:val="001443C1"/>
    <w:rPr>
      <w:bCs/>
      <w:kern w:val="24"/>
      <w:sz w:val="24"/>
      <w:szCs w:val="24"/>
    </w:rPr>
  </w:style>
  <w:style w:type="character" w:customStyle="1" w:styleId="Heading5Char">
    <w:name w:val="Heading 5 Char"/>
    <w:aliases w:val="h5 Char,Style 59 Char,H5 Char"/>
    <w:basedOn w:val="DefaultParagraphFont"/>
    <w:link w:val="Heading5"/>
    <w:rsid w:val="001443C1"/>
    <w:rPr>
      <w:bCs/>
      <w:iCs/>
      <w:kern w:val="24"/>
      <w:sz w:val="24"/>
      <w:szCs w:val="24"/>
    </w:rPr>
  </w:style>
  <w:style w:type="character" w:customStyle="1" w:styleId="Heading6Char">
    <w:name w:val="Heading 6 Char"/>
    <w:aliases w:val="h6 Char,Style 60 Char,H6 Char"/>
    <w:basedOn w:val="DefaultParagraphFont"/>
    <w:link w:val="Heading6"/>
    <w:rsid w:val="001443C1"/>
    <w:rPr>
      <w:bCs/>
      <w:kern w:val="24"/>
      <w:sz w:val="24"/>
      <w:szCs w:val="24"/>
    </w:rPr>
  </w:style>
  <w:style w:type="character" w:customStyle="1" w:styleId="Heading7Char">
    <w:name w:val="Heading 7 Char"/>
    <w:aliases w:val="h7 Char,Style 61 Char,H7 Char"/>
    <w:basedOn w:val="DefaultParagraphFont"/>
    <w:link w:val="Heading7"/>
    <w:rsid w:val="001443C1"/>
    <w:rPr>
      <w:kern w:val="24"/>
      <w:sz w:val="24"/>
      <w:szCs w:val="24"/>
    </w:rPr>
  </w:style>
  <w:style w:type="character" w:customStyle="1" w:styleId="Heading8Char">
    <w:name w:val="Heading 8 Char"/>
    <w:aliases w:val="h8 Char,Style 62 Char,H8 Char"/>
    <w:basedOn w:val="DefaultParagraphFont"/>
    <w:link w:val="Heading8"/>
    <w:rsid w:val="001443C1"/>
    <w:rPr>
      <w:iCs/>
      <w:kern w:val="24"/>
      <w:sz w:val="24"/>
      <w:szCs w:val="24"/>
    </w:rPr>
  </w:style>
  <w:style w:type="character" w:customStyle="1" w:styleId="Heading9Char">
    <w:name w:val="Heading 9 Char"/>
    <w:aliases w:val="h9 Char,Style 63 Char,H9 Char"/>
    <w:basedOn w:val="DefaultParagraphFont"/>
    <w:link w:val="Heading9"/>
    <w:uiPriority w:val="34"/>
    <w:rsid w:val="001443C1"/>
    <w:rPr>
      <w:rFonts w:cs="Arial"/>
      <w:kern w:val="24"/>
      <w:sz w:val="24"/>
      <w:szCs w:val="24"/>
    </w:rPr>
  </w:style>
  <w:style w:type="paragraph" w:styleId="ListNumber3">
    <w:name w:val="List Number 3"/>
    <w:basedOn w:val="ListNumber"/>
    <w:rsid w:val="00B41657"/>
    <w:pPr>
      <w:widowControl/>
      <w:numPr>
        <w:numId w:val="10"/>
      </w:numPr>
      <w:tabs>
        <w:tab w:val="clear" w:pos="1080"/>
        <w:tab w:val="num" w:pos="360"/>
      </w:tabs>
      <w:ind w:left="0" w:firstLine="0"/>
      <w:contextualSpacing w:val="0"/>
      <w:jc w:val="both"/>
    </w:pPr>
    <w:rPr>
      <w:snapToGrid/>
    </w:rPr>
  </w:style>
  <w:style w:type="paragraph" w:customStyle="1" w:styleId="Para2">
    <w:name w:val="Para2"/>
    <w:basedOn w:val="Normal"/>
    <w:next w:val="Heading2"/>
    <w:link w:val="Para2Char"/>
    <w:rsid w:val="00B41657"/>
    <w:pPr>
      <w:widowControl/>
      <w:spacing w:after="240"/>
      <w:ind w:firstLine="1440"/>
      <w:jc w:val="both"/>
    </w:pPr>
    <w:rPr>
      <w:snapToGrid/>
    </w:rPr>
  </w:style>
  <w:style w:type="character" w:customStyle="1" w:styleId="Para2Char">
    <w:name w:val="Para2 Char"/>
    <w:link w:val="Para2"/>
    <w:rsid w:val="00B41657"/>
    <w:rPr>
      <w:sz w:val="24"/>
    </w:rPr>
  </w:style>
  <w:style w:type="paragraph" w:styleId="ListNumber">
    <w:name w:val="List Number"/>
    <w:basedOn w:val="Normal"/>
    <w:rsid w:val="00B41657"/>
    <w:pPr>
      <w:tabs>
        <w:tab w:val="num" w:pos="360"/>
      </w:tabs>
      <w:contextualSpacing/>
    </w:pPr>
  </w:style>
  <w:style w:type="paragraph" w:styleId="PlainText">
    <w:name w:val="Plain Text"/>
    <w:basedOn w:val="Normal"/>
    <w:link w:val="PlainTextChar"/>
    <w:uiPriority w:val="99"/>
    <w:unhideWhenUsed/>
    <w:rsid w:val="00737763"/>
    <w:pPr>
      <w:widowControl/>
    </w:pPr>
    <w:rPr>
      <w:rFonts w:eastAsiaTheme="minorHAnsi"/>
      <w:snapToGrid/>
      <w:szCs w:val="24"/>
    </w:rPr>
  </w:style>
  <w:style w:type="character" w:customStyle="1" w:styleId="PlainTextChar">
    <w:name w:val="Plain Text Char"/>
    <w:basedOn w:val="DefaultParagraphFont"/>
    <w:link w:val="PlainText"/>
    <w:uiPriority w:val="99"/>
    <w:rsid w:val="00737763"/>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5395">
      <w:bodyDiv w:val="1"/>
      <w:marLeft w:val="0"/>
      <w:marRight w:val="0"/>
      <w:marTop w:val="0"/>
      <w:marBottom w:val="0"/>
      <w:divBdr>
        <w:top w:val="none" w:sz="0" w:space="0" w:color="auto"/>
        <w:left w:val="none" w:sz="0" w:space="0" w:color="auto"/>
        <w:bottom w:val="none" w:sz="0" w:space="0" w:color="auto"/>
        <w:right w:val="none" w:sz="0" w:space="0" w:color="auto"/>
      </w:divBdr>
    </w:div>
    <w:div w:id="142282350">
      <w:bodyDiv w:val="1"/>
      <w:marLeft w:val="0"/>
      <w:marRight w:val="0"/>
      <w:marTop w:val="0"/>
      <w:marBottom w:val="0"/>
      <w:divBdr>
        <w:top w:val="none" w:sz="0" w:space="0" w:color="auto"/>
        <w:left w:val="none" w:sz="0" w:space="0" w:color="auto"/>
        <w:bottom w:val="none" w:sz="0" w:space="0" w:color="auto"/>
        <w:right w:val="none" w:sz="0" w:space="0" w:color="auto"/>
      </w:divBdr>
    </w:div>
    <w:div w:id="311374312">
      <w:bodyDiv w:val="1"/>
      <w:marLeft w:val="0"/>
      <w:marRight w:val="0"/>
      <w:marTop w:val="0"/>
      <w:marBottom w:val="0"/>
      <w:divBdr>
        <w:top w:val="none" w:sz="0" w:space="0" w:color="auto"/>
        <w:left w:val="none" w:sz="0" w:space="0" w:color="auto"/>
        <w:bottom w:val="none" w:sz="0" w:space="0" w:color="auto"/>
        <w:right w:val="none" w:sz="0" w:space="0" w:color="auto"/>
      </w:divBdr>
    </w:div>
    <w:div w:id="609357188">
      <w:bodyDiv w:val="1"/>
      <w:marLeft w:val="0"/>
      <w:marRight w:val="0"/>
      <w:marTop w:val="0"/>
      <w:marBottom w:val="0"/>
      <w:divBdr>
        <w:top w:val="none" w:sz="0" w:space="0" w:color="auto"/>
        <w:left w:val="none" w:sz="0" w:space="0" w:color="auto"/>
        <w:bottom w:val="none" w:sz="0" w:space="0" w:color="auto"/>
        <w:right w:val="none" w:sz="0" w:space="0" w:color="auto"/>
      </w:divBdr>
    </w:div>
    <w:div w:id="886256561">
      <w:bodyDiv w:val="1"/>
      <w:marLeft w:val="0"/>
      <w:marRight w:val="0"/>
      <w:marTop w:val="0"/>
      <w:marBottom w:val="0"/>
      <w:divBdr>
        <w:top w:val="none" w:sz="0" w:space="0" w:color="auto"/>
        <w:left w:val="none" w:sz="0" w:space="0" w:color="auto"/>
        <w:bottom w:val="none" w:sz="0" w:space="0" w:color="auto"/>
        <w:right w:val="none" w:sz="0" w:space="0" w:color="auto"/>
      </w:divBdr>
    </w:div>
    <w:div w:id="1178500747">
      <w:bodyDiv w:val="1"/>
      <w:marLeft w:val="0"/>
      <w:marRight w:val="0"/>
      <w:marTop w:val="0"/>
      <w:marBottom w:val="0"/>
      <w:divBdr>
        <w:top w:val="none" w:sz="0" w:space="0" w:color="auto"/>
        <w:left w:val="none" w:sz="0" w:space="0" w:color="auto"/>
        <w:bottom w:val="none" w:sz="0" w:space="0" w:color="auto"/>
        <w:right w:val="none" w:sz="0" w:space="0" w:color="auto"/>
      </w:divBdr>
    </w:div>
    <w:div w:id="1394893678">
      <w:bodyDiv w:val="1"/>
      <w:marLeft w:val="0"/>
      <w:marRight w:val="0"/>
      <w:marTop w:val="0"/>
      <w:marBottom w:val="0"/>
      <w:divBdr>
        <w:top w:val="none" w:sz="0" w:space="0" w:color="auto"/>
        <w:left w:val="none" w:sz="0" w:space="0" w:color="auto"/>
        <w:bottom w:val="none" w:sz="0" w:space="0" w:color="auto"/>
        <w:right w:val="none" w:sz="0" w:space="0" w:color="auto"/>
      </w:divBdr>
    </w:div>
    <w:div w:id="14616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GJV33\AppData\Roaming\Microsoft\Templates\Memorandu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B40C7-7A1F-4E76-B419-5AC60960F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1</TotalTime>
  <Pages>3</Pages>
  <Words>1224</Words>
  <Characters>6982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SunTrust Banks, Inc.</Company>
  <LinksUpToDate>false</LinksUpToDate>
  <CharactersWithSpaces>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Rentenbach</dc:creator>
  <cp:lastModifiedBy>Jennifer Rentenbach</cp:lastModifiedBy>
  <cp:revision>2</cp:revision>
  <cp:lastPrinted>2014-08-15T17:57:00Z</cp:lastPrinted>
  <dcterms:created xsi:type="dcterms:W3CDTF">2018-01-16T23:26:00Z</dcterms:created>
  <dcterms:modified xsi:type="dcterms:W3CDTF">2018-01-16T23:26:00Z</dcterms:modified>
</cp:coreProperties>
</file>