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E30F1" w14:textId="77777777" w:rsidR="00DD3590" w:rsidRDefault="001942FB" w:rsidP="001942FB">
      <w:pPr>
        <w:pStyle w:val="BodyText"/>
        <w:ind w:firstLine="0"/>
        <w:jc w:val="center"/>
        <w:rPr>
          <w:b/>
          <w:bCs/>
          <w:sz w:val="22"/>
          <w:szCs w:val="22"/>
          <w:highlight w:val="yellow"/>
        </w:rPr>
      </w:pPr>
      <w:r w:rsidRPr="00F74A0B">
        <w:rPr>
          <w:b/>
          <w:bCs/>
          <w:sz w:val="22"/>
          <w:szCs w:val="22"/>
          <w:highlight w:val="yellow"/>
        </w:rPr>
        <w:t>NOTE TO DRAFTER:</w:t>
      </w:r>
    </w:p>
    <w:p w14:paraId="4A3A55E3" w14:textId="330B6063" w:rsidR="00DD3590" w:rsidRDefault="00DD3590" w:rsidP="001942FB">
      <w:pPr>
        <w:pStyle w:val="BodyText"/>
        <w:ind w:firstLine="0"/>
        <w:jc w:val="center"/>
        <w:rPr>
          <w:b/>
          <w:bCs/>
          <w:sz w:val="22"/>
          <w:szCs w:val="22"/>
          <w:highlight w:val="yellow"/>
        </w:rPr>
      </w:pPr>
      <w:r>
        <w:rPr>
          <w:b/>
          <w:bCs/>
          <w:sz w:val="22"/>
          <w:szCs w:val="22"/>
          <w:highlight w:val="yellow"/>
        </w:rPr>
        <w:t>THIS IS A DISCLOSURE ADDENDUM.  THESE DISCLOSURES ARE ALREADY IN THE CRE FORM TERM SHEETS AND LOAN AGREEMENTS.</w:t>
      </w:r>
    </w:p>
    <w:p w14:paraId="7537A3C0" w14:textId="7F00AA18" w:rsidR="001942FB" w:rsidRPr="00DD3590" w:rsidRDefault="00DD3590" w:rsidP="001942FB">
      <w:pPr>
        <w:pStyle w:val="BodyText"/>
        <w:ind w:firstLine="0"/>
        <w:jc w:val="center"/>
        <w:rPr>
          <w:b/>
          <w:bCs/>
          <w:sz w:val="22"/>
          <w:szCs w:val="22"/>
        </w:rPr>
      </w:pPr>
      <w:r w:rsidRPr="00DD3590">
        <w:rPr>
          <w:b/>
          <w:bCs/>
          <w:sz w:val="22"/>
          <w:szCs w:val="22"/>
          <w:highlight w:val="yellow"/>
        </w:rPr>
        <w:t>IF YOU ARE WORKING WITH NON-CRE FORM LOAN DOCUMENTS, MAKE SURE THAT THIS IS INCLUDED IN THE TERM SHEET AS A FIRST CHOICE, AND THE LOAN AGREEMENT AS A SECOND CHOICE.</w:t>
      </w:r>
    </w:p>
    <w:p w14:paraId="6682244C" w14:textId="77777777" w:rsidR="001942FB" w:rsidRDefault="001942FB" w:rsidP="001942FB">
      <w:pPr>
        <w:pStyle w:val="BodyText"/>
        <w:ind w:firstLine="0"/>
        <w:jc w:val="center"/>
        <w:rPr>
          <w:b/>
          <w:bCs/>
          <w:sz w:val="22"/>
          <w:szCs w:val="22"/>
        </w:rPr>
      </w:pPr>
    </w:p>
    <w:p w14:paraId="65963825" w14:textId="729202CB" w:rsidR="001942FB" w:rsidRPr="00BD19FB" w:rsidRDefault="001942FB" w:rsidP="001942FB">
      <w:pPr>
        <w:pStyle w:val="BodyText"/>
        <w:ind w:firstLine="0"/>
        <w:jc w:val="center"/>
        <w:rPr>
          <w:b/>
          <w:bCs/>
          <w:sz w:val="22"/>
          <w:szCs w:val="22"/>
        </w:rPr>
      </w:pPr>
      <w:r w:rsidRPr="00BD19FB">
        <w:rPr>
          <w:b/>
          <w:bCs/>
          <w:sz w:val="22"/>
          <w:szCs w:val="22"/>
        </w:rPr>
        <w:t xml:space="preserve">Exhibit </w:t>
      </w:r>
      <w:r>
        <w:rPr>
          <w:b/>
          <w:bCs/>
          <w:sz w:val="22"/>
          <w:szCs w:val="22"/>
        </w:rPr>
        <w:t>[__]</w:t>
      </w:r>
    </w:p>
    <w:p w14:paraId="4EF4DDCC" w14:textId="77777777" w:rsidR="001942FB" w:rsidRDefault="001942FB" w:rsidP="001942FB">
      <w:pPr>
        <w:pStyle w:val="BodyText"/>
        <w:ind w:firstLine="0"/>
        <w:jc w:val="center"/>
        <w:rPr>
          <w:b/>
          <w:bCs/>
          <w:szCs w:val="22"/>
        </w:rPr>
      </w:pPr>
      <w:r w:rsidRPr="00BD19FB">
        <w:rPr>
          <w:b/>
          <w:bCs/>
          <w:szCs w:val="22"/>
        </w:rPr>
        <w:t>Legal Disclosures by Truist</w:t>
      </w:r>
    </w:p>
    <w:p w14:paraId="22EDCCB4" w14:textId="77777777" w:rsidR="001942FB" w:rsidRPr="00904855" w:rsidRDefault="001942FB" w:rsidP="001942FB">
      <w:pPr>
        <w:ind w:left="1800" w:hanging="1800"/>
        <w:rPr>
          <w:b/>
          <w:iCs/>
          <w:sz w:val="22"/>
          <w:szCs w:val="22"/>
        </w:rPr>
      </w:pPr>
      <w:r w:rsidRPr="00904855">
        <w:rPr>
          <w:b/>
          <w:iCs/>
          <w:sz w:val="22"/>
          <w:szCs w:val="22"/>
        </w:rPr>
        <w:t>Equal Credit</w:t>
      </w:r>
    </w:p>
    <w:p w14:paraId="17D2D6F5" w14:textId="77777777" w:rsidR="001942FB" w:rsidRPr="00904855" w:rsidRDefault="001942FB" w:rsidP="001942FB">
      <w:pPr>
        <w:ind w:left="1800" w:hanging="1800"/>
        <w:rPr>
          <w:b/>
          <w:iCs/>
          <w:sz w:val="22"/>
          <w:szCs w:val="22"/>
        </w:rPr>
      </w:pPr>
      <w:r w:rsidRPr="00904855">
        <w:rPr>
          <w:b/>
          <w:iCs/>
          <w:sz w:val="22"/>
          <w:szCs w:val="22"/>
        </w:rPr>
        <w:t>Opportunity</w:t>
      </w:r>
    </w:p>
    <w:p w14:paraId="0E8D2603" w14:textId="77777777" w:rsidR="001942FB" w:rsidRPr="00904855" w:rsidRDefault="001942FB" w:rsidP="001942FB">
      <w:pPr>
        <w:ind w:left="1800" w:hanging="1800"/>
        <w:rPr>
          <w:bCs/>
          <w:iCs/>
          <w:sz w:val="22"/>
          <w:szCs w:val="22"/>
        </w:rPr>
      </w:pPr>
      <w:r w:rsidRPr="00904855">
        <w:rPr>
          <w:b/>
          <w:iCs/>
          <w:sz w:val="22"/>
          <w:szCs w:val="22"/>
        </w:rPr>
        <w:t>Disclosure</w:t>
      </w:r>
      <w:r w:rsidRPr="00904855">
        <w:rPr>
          <w:bCs/>
          <w:iCs/>
          <w:sz w:val="22"/>
          <w:szCs w:val="22"/>
        </w:rPr>
        <w:t xml:space="preserve">:  </w:t>
      </w:r>
      <w:r w:rsidRPr="00904855">
        <w:rPr>
          <w:bCs/>
          <w:iCs/>
          <w:sz w:val="22"/>
          <w:szCs w:val="22"/>
        </w:rPr>
        <w:tab/>
        <w:t>The Federal Equal Credit Opportunity Act prohibits creditors from discriminating against credit applicants on the basis of race, color, religion, national origin, sex, marital status, age (provided the applicant has the legal capacity to enter into a binding contract), because all or part of the applicant’s income derives from any public assistance program, or because the applicant has in good faith exercised any right under the Consumer Credit Protection Act. The Federal agency that administers compliance with this law concerning this creditor is the Bureau of Consumer Financial Protection, 1700 G Street NW, Washington, DC, 20552.</w:t>
      </w:r>
    </w:p>
    <w:p w14:paraId="57F7EC9F" w14:textId="77777777" w:rsidR="001942FB" w:rsidRPr="00904855" w:rsidRDefault="001942FB" w:rsidP="001942FB">
      <w:pPr>
        <w:ind w:left="1800" w:hanging="1800"/>
        <w:rPr>
          <w:bCs/>
          <w:iCs/>
          <w:sz w:val="22"/>
          <w:szCs w:val="22"/>
        </w:rPr>
      </w:pPr>
      <w:r w:rsidRPr="00904855">
        <w:rPr>
          <w:bCs/>
          <w:iCs/>
          <w:sz w:val="22"/>
          <w:szCs w:val="22"/>
        </w:rPr>
        <w:t xml:space="preserve"> </w:t>
      </w:r>
    </w:p>
    <w:p w14:paraId="5D3D7E0E" w14:textId="77777777" w:rsidR="001942FB" w:rsidRPr="00904855" w:rsidRDefault="001942FB" w:rsidP="001942FB">
      <w:pPr>
        <w:ind w:left="1800" w:hanging="1800"/>
        <w:rPr>
          <w:bCs/>
          <w:iCs/>
          <w:sz w:val="22"/>
          <w:szCs w:val="22"/>
        </w:rPr>
      </w:pPr>
      <w:r w:rsidRPr="00904855">
        <w:rPr>
          <w:bCs/>
          <w:iCs/>
          <w:sz w:val="22"/>
          <w:szCs w:val="22"/>
        </w:rPr>
        <w:t xml:space="preserve"> </w:t>
      </w:r>
    </w:p>
    <w:p w14:paraId="1B19C750" w14:textId="77777777" w:rsidR="001942FB" w:rsidRPr="00904855" w:rsidRDefault="001942FB" w:rsidP="001942FB">
      <w:pPr>
        <w:ind w:left="1800" w:hanging="1800"/>
        <w:rPr>
          <w:b/>
          <w:iCs/>
          <w:sz w:val="22"/>
          <w:szCs w:val="22"/>
        </w:rPr>
      </w:pPr>
      <w:r w:rsidRPr="00904855">
        <w:rPr>
          <w:b/>
          <w:iCs/>
          <w:sz w:val="22"/>
          <w:szCs w:val="22"/>
        </w:rPr>
        <w:t>Denial</w:t>
      </w:r>
    </w:p>
    <w:p w14:paraId="470014F0" w14:textId="77777777" w:rsidR="001942FB" w:rsidRPr="00904855" w:rsidRDefault="001942FB" w:rsidP="001942FB">
      <w:pPr>
        <w:ind w:left="1800" w:hanging="1800"/>
        <w:rPr>
          <w:bCs/>
          <w:iCs/>
          <w:sz w:val="22"/>
          <w:szCs w:val="22"/>
        </w:rPr>
      </w:pPr>
      <w:r w:rsidRPr="00904855">
        <w:rPr>
          <w:b/>
          <w:iCs/>
          <w:sz w:val="22"/>
          <w:szCs w:val="22"/>
        </w:rPr>
        <w:t>Disclosure</w:t>
      </w:r>
      <w:r w:rsidRPr="00904855">
        <w:rPr>
          <w:bCs/>
          <w:iCs/>
          <w:sz w:val="22"/>
          <w:szCs w:val="22"/>
        </w:rPr>
        <w:t>:</w:t>
      </w:r>
      <w:r w:rsidRPr="00904855">
        <w:rPr>
          <w:bCs/>
          <w:iCs/>
          <w:sz w:val="22"/>
          <w:szCs w:val="22"/>
        </w:rPr>
        <w:tab/>
        <w:t xml:space="preserve">If </w:t>
      </w:r>
      <w:r>
        <w:rPr>
          <w:bCs/>
          <w:iCs/>
          <w:sz w:val="22"/>
          <w:szCs w:val="22"/>
        </w:rPr>
        <w:t>Borrower’s</w:t>
      </w:r>
      <w:r w:rsidRPr="00904855">
        <w:rPr>
          <w:bCs/>
          <w:iCs/>
          <w:sz w:val="22"/>
          <w:szCs w:val="22"/>
        </w:rPr>
        <w:t xml:space="preserve"> application for credit is denied, </w:t>
      </w:r>
      <w:r>
        <w:rPr>
          <w:bCs/>
          <w:iCs/>
          <w:sz w:val="22"/>
          <w:szCs w:val="22"/>
        </w:rPr>
        <w:t>Borrower</w:t>
      </w:r>
      <w:r w:rsidRPr="00904855">
        <w:rPr>
          <w:bCs/>
          <w:iCs/>
          <w:sz w:val="22"/>
          <w:szCs w:val="22"/>
        </w:rPr>
        <w:t xml:space="preserve"> </w:t>
      </w:r>
      <w:r>
        <w:rPr>
          <w:bCs/>
          <w:iCs/>
          <w:sz w:val="22"/>
          <w:szCs w:val="22"/>
        </w:rPr>
        <w:t>has</w:t>
      </w:r>
      <w:r w:rsidRPr="00904855">
        <w:rPr>
          <w:bCs/>
          <w:iCs/>
          <w:sz w:val="22"/>
          <w:szCs w:val="22"/>
        </w:rPr>
        <w:t xml:space="preserve"> the right to a written statement of the specific reason(s) for the denial. A statement can be obtained by writing to the address below within 60 days from the date </w:t>
      </w:r>
      <w:r>
        <w:rPr>
          <w:bCs/>
          <w:iCs/>
          <w:sz w:val="22"/>
          <w:szCs w:val="22"/>
        </w:rPr>
        <w:t>Borrower</w:t>
      </w:r>
      <w:r w:rsidRPr="00904855">
        <w:rPr>
          <w:bCs/>
          <w:iCs/>
          <w:sz w:val="22"/>
          <w:szCs w:val="22"/>
        </w:rPr>
        <w:t xml:space="preserve"> </w:t>
      </w:r>
      <w:r>
        <w:rPr>
          <w:bCs/>
          <w:iCs/>
          <w:sz w:val="22"/>
          <w:szCs w:val="22"/>
        </w:rPr>
        <w:t>is</w:t>
      </w:r>
      <w:r w:rsidRPr="00904855">
        <w:rPr>
          <w:bCs/>
          <w:iCs/>
          <w:sz w:val="22"/>
          <w:szCs w:val="22"/>
        </w:rPr>
        <w:t xml:space="preserve"> notified of the decision. Truist Bank will send </w:t>
      </w:r>
      <w:r>
        <w:rPr>
          <w:bCs/>
          <w:iCs/>
          <w:sz w:val="22"/>
          <w:szCs w:val="22"/>
        </w:rPr>
        <w:t>Borrower</w:t>
      </w:r>
      <w:r w:rsidRPr="00904855">
        <w:rPr>
          <w:bCs/>
          <w:iCs/>
          <w:sz w:val="22"/>
          <w:szCs w:val="22"/>
        </w:rPr>
        <w:t xml:space="preserve"> a written statement of the </w:t>
      </w:r>
      <w:proofErr w:type="gramStart"/>
      <w:r w:rsidRPr="00904855">
        <w:rPr>
          <w:bCs/>
          <w:iCs/>
          <w:sz w:val="22"/>
          <w:szCs w:val="22"/>
        </w:rPr>
        <w:t>reason(s)</w:t>
      </w:r>
      <w:proofErr w:type="gramEnd"/>
      <w:r w:rsidRPr="00904855">
        <w:rPr>
          <w:bCs/>
          <w:iCs/>
          <w:sz w:val="22"/>
          <w:szCs w:val="22"/>
        </w:rPr>
        <w:t xml:space="preserve"> for the denial within 30 days of receiving </w:t>
      </w:r>
      <w:r>
        <w:rPr>
          <w:bCs/>
          <w:iCs/>
          <w:sz w:val="22"/>
          <w:szCs w:val="22"/>
        </w:rPr>
        <w:t>Borrower’s</w:t>
      </w:r>
      <w:r w:rsidRPr="00904855">
        <w:rPr>
          <w:bCs/>
          <w:iCs/>
          <w:sz w:val="22"/>
          <w:szCs w:val="22"/>
        </w:rPr>
        <w:t xml:space="preserve"> request.</w:t>
      </w:r>
    </w:p>
    <w:p w14:paraId="693022F6" w14:textId="77777777" w:rsidR="001942FB" w:rsidRPr="00904855" w:rsidRDefault="001942FB" w:rsidP="001942FB">
      <w:pPr>
        <w:ind w:left="1800" w:hanging="1800"/>
        <w:rPr>
          <w:bCs/>
          <w:iCs/>
          <w:sz w:val="22"/>
          <w:szCs w:val="22"/>
        </w:rPr>
      </w:pPr>
      <w:r w:rsidRPr="00904855">
        <w:rPr>
          <w:bCs/>
          <w:iCs/>
          <w:sz w:val="22"/>
          <w:szCs w:val="22"/>
        </w:rPr>
        <w:t xml:space="preserve"> </w:t>
      </w:r>
    </w:p>
    <w:p w14:paraId="76BA2728" w14:textId="77777777" w:rsidR="001942FB" w:rsidRPr="00904855" w:rsidRDefault="001942FB" w:rsidP="001942FB">
      <w:pPr>
        <w:ind w:left="1440" w:firstLine="360"/>
        <w:rPr>
          <w:bCs/>
          <w:iCs/>
          <w:sz w:val="22"/>
          <w:szCs w:val="22"/>
        </w:rPr>
      </w:pPr>
      <w:r w:rsidRPr="00904855">
        <w:rPr>
          <w:bCs/>
          <w:iCs/>
          <w:sz w:val="22"/>
          <w:szCs w:val="22"/>
        </w:rPr>
        <w:t>Truist Bank</w:t>
      </w:r>
    </w:p>
    <w:p w14:paraId="5E7D2A08" w14:textId="77777777" w:rsidR="001942FB" w:rsidRPr="00904855" w:rsidRDefault="001942FB" w:rsidP="001942FB">
      <w:pPr>
        <w:ind w:left="1080" w:firstLine="720"/>
        <w:rPr>
          <w:bCs/>
          <w:iCs/>
          <w:sz w:val="22"/>
          <w:szCs w:val="22"/>
        </w:rPr>
      </w:pPr>
      <w:r w:rsidRPr="00904855">
        <w:rPr>
          <w:bCs/>
          <w:iCs/>
          <w:sz w:val="22"/>
          <w:szCs w:val="22"/>
        </w:rPr>
        <w:t>Centralized Lending Unit</w:t>
      </w:r>
    </w:p>
    <w:p w14:paraId="02C26288" w14:textId="77777777" w:rsidR="001942FB" w:rsidRPr="00904855" w:rsidRDefault="001942FB" w:rsidP="001942FB">
      <w:pPr>
        <w:ind w:left="1800"/>
        <w:rPr>
          <w:bCs/>
          <w:iCs/>
          <w:sz w:val="22"/>
          <w:szCs w:val="22"/>
        </w:rPr>
      </w:pPr>
      <w:r w:rsidRPr="00904855">
        <w:rPr>
          <w:bCs/>
          <w:iCs/>
          <w:sz w:val="22"/>
          <w:szCs w:val="22"/>
        </w:rPr>
        <w:t>P. O. Box 620009</w:t>
      </w:r>
    </w:p>
    <w:p w14:paraId="764AA4EA" w14:textId="77777777" w:rsidR="001942FB" w:rsidRPr="00904855" w:rsidRDefault="001942FB" w:rsidP="001942FB">
      <w:pPr>
        <w:ind w:left="1800"/>
        <w:rPr>
          <w:bCs/>
          <w:iCs/>
          <w:sz w:val="22"/>
          <w:szCs w:val="22"/>
        </w:rPr>
      </w:pPr>
      <w:r w:rsidRPr="00904855">
        <w:rPr>
          <w:bCs/>
          <w:iCs/>
          <w:sz w:val="22"/>
          <w:szCs w:val="22"/>
        </w:rPr>
        <w:t>Orlando, Florida 32862</w:t>
      </w:r>
    </w:p>
    <w:p w14:paraId="28A596FA" w14:textId="77777777" w:rsidR="001942FB" w:rsidRPr="00904855" w:rsidRDefault="001942FB" w:rsidP="001942FB">
      <w:pPr>
        <w:ind w:left="1800"/>
        <w:rPr>
          <w:bCs/>
          <w:iCs/>
          <w:sz w:val="22"/>
          <w:szCs w:val="22"/>
        </w:rPr>
      </w:pPr>
      <w:r w:rsidRPr="00904855">
        <w:rPr>
          <w:bCs/>
          <w:iCs/>
          <w:sz w:val="22"/>
          <w:szCs w:val="22"/>
        </w:rPr>
        <w:t>Phone: 877-870-7969</w:t>
      </w:r>
    </w:p>
    <w:p w14:paraId="739DC9DC" w14:textId="77777777" w:rsidR="001942FB" w:rsidRPr="00904855" w:rsidRDefault="001942FB" w:rsidP="001942FB">
      <w:pPr>
        <w:ind w:left="1800" w:hanging="1800"/>
        <w:rPr>
          <w:bCs/>
          <w:iCs/>
          <w:sz w:val="22"/>
          <w:szCs w:val="22"/>
        </w:rPr>
      </w:pPr>
      <w:r w:rsidRPr="00904855">
        <w:rPr>
          <w:bCs/>
          <w:iCs/>
          <w:sz w:val="22"/>
          <w:szCs w:val="22"/>
        </w:rPr>
        <w:t xml:space="preserve"> </w:t>
      </w:r>
    </w:p>
    <w:p w14:paraId="07560359" w14:textId="77777777" w:rsidR="001942FB" w:rsidRPr="00904855" w:rsidRDefault="001942FB" w:rsidP="001942FB">
      <w:pPr>
        <w:ind w:left="1800" w:hanging="1800"/>
        <w:rPr>
          <w:bCs/>
          <w:iCs/>
          <w:sz w:val="22"/>
          <w:szCs w:val="22"/>
        </w:rPr>
      </w:pPr>
      <w:r w:rsidRPr="00904855">
        <w:rPr>
          <w:bCs/>
          <w:iCs/>
          <w:sz w:val="22"/>
          <w:szCs w:val="22"/>
        </w:rPr>
        <w:t xml:space="preserve"> </w:t>
      </w:r>
    </w:p>
    <w:p w14:paraId="09CB1BB7" w14:textId="77777777" w:rsidR="001942FB" w:rsidRDefault="001942FB" w:rsidP="001942FB">
      <w:pPr>
        <w:ind w:left="1800" w:hanging="1800"/>
        <w:rPr>
          <w:b/>
          <w:iCs/>
          <w:sz w:val="22"/>
          <w:szCs w:val="22"/>
        </w:rPr>
      </w:pPr>
      <w:r w:rsidRPr="00904855">
        <w:rPr>
          <w:b/>
          <w:iCs/>
          <w:sz w:val="22"/>
          <w:szCs w:val="22"/>
        </w:rPr>
        <w:t>Ohio Notice</w:t>
      </w:r>
    </w:p>
    <w:p w14:paraId="4FF2FFAA" w14:textId="77777777" w:rsidR="001942FB" w:rsidRDefault="001942FB" w:rsidP="001942FB">
      <w:pPr>
        <w:ind w:left="1800" w:hanging="1800"/>
        <w:rPr>
          <w:b/>
          <w:iCs/>
          <w:sz w:val="22"/>
          <w:szCs w:val="22"/>
        </w:rPr>
      </w:pPr>
      <w:r w:rsidRPr="00904855">
        <w:rPr>
          <w:b/>
          <w:iCs/>
          <w:sz w:val="22"/>
          <w:szCs w:val="22"/>
        </w:rPr>
        <w:t>(Applicable for applications and</w:t>
      </w:r>
    </w:p>
    <w:p w14:paraId="384701D6" w14:textId="77777777" w:rsidR="001942FB" w:rsidRDefault="001942FB" w:rsidP="001942FB">
      <w:pPr>
        <w:ind w:left="1800" w:hanging="1800"/>
        <w:rPr>
          <w:b/>
          <w:iCs/>
          <w:sz w:val="22"/>
          <w:szCs w:val="22"/>
        </w:rPr>
      </w:pPr>
      <w:r w:rsidRPr="00904855">
        <w:rPr>
          <w:b/>
          <w:iCs/>
          <w:sz w:val="22"/>
          <w:szCs w:val="22"/>
        </w:rPr>
        <w:t xml:space="preserve">loans </w:t>
      </w:r>
      <w:r>
        <w:rPr>
          <w:b/>
          <w:iCs/>
          <w:sz w:val="22"/>
          <w:szCs w:val="22"/>
        </w:rPr>
        <w:t>subject</w:t>
      </w:r>
    </w:p>
    <w:p w14:paraId="171E49DC" w14:textId="77777777" w:rsidR="001942FB" w:rsidRPr="00904855" w:rsidRDefault="001942FB" w:rsidP="001942FB">
      <w:pPr>
        <w:ind w:left="1800" w:hanging="1800"/>
        <w:rPr>
          <w:bCs/>
          <w:iCs/>
          <w:sz w:val="22"/>
          <w:szCs w:val="22"/>
        </w:rPr>
      </w:pPr>
      <w:r w:rsidRPr="00904855">
        <w:rPr>
          <w:b/>
          <w:iCs/>
          <w:sz w:val="22"/>
          <w:szCs w:val="22"/>
        </w:rPr>
        <w:t xml:space="preserve"> to Ohio law)</w:t>
      </w:r>
      <w:r w:rsidRPr="00904855">
        <w:rPr>
          <w:bCs/>
          <w:iCs/>
          <w:sz w:val="22"/>
          <w:szCs w:val="22"/>
        </w:rPr>
        <w:t>:</w:t>
      </w:r>
      <w:r>
        <w:rPr>
          <w:bCs/>
          <w:iCs/>
          <w:sz w:val="22"/>
          <w:szCs w:val="22"/>
        </w:rPr>
        <w:tab/>
      </w:r>
      <w:r w:rsidRPr="00904855">
        <w:rPr>
          <w:bCs/>
          <w:iCs/>
          <w:sz w:val="22"/>
          <w:szCs w:val="22"/>
        </w:rPr>
        <w:t xml:space="preserve">The Ohio laws against discrimination require all creditors </w:t>
      </w:r>
      <w:proofErr w:type="gramStart"/>
      <w:r w:rsidRPr="00904855">
        <w:rPr>
          <w:bCs/>
          <w:iCs/>
          <w:sz w:val="22"/>
          <w:szCs w:val="22"/>
        </w:rPr>
        <w:t>make</w:t>
      </w:r>
      <w:proofErr w:type="gramEnd"/>
      <w:r w:rsidRPr="00904855">
        <w:rPr>
          <w:bCs/>
          <w:iCs/>
          <w:sz w:val="22"/>
          <w:szCs w:val="22"/>
        </w:rPr>
        <w:t xml:space="preserve"> credit equally available to all creditworthy customers, and that credit reporting agencies maintain separate credit histories on </w:t>
      </w:r>
      <w:proofErr w:type="gramStart"/>
      <w:r w:rsidRPr="00904855">
        <w:rPr>
          <w:bCs/>
          <w:iCs/>
          <w:sz w:val="22"/>
          <w:szCs w:val="22"/>
        </w:rPr>
        <w:t>each individual</w:t>
      </w:r>
      <w:proofErr w:type="gramEnd"/>
      <w:r w:rsidRPr="00904855">
        <w:rPr>
          <w:bCs/>
          <w:iCs/>
          <w:sz w:val="22"/>
          <w:szCs w:val="22"/>
        </w:rPr>
        <w:t xml:space="preserve"> upon request. The Ohio Civil Rights Commission administers compliance with this law.</w:t>
      </w:r>
    </w:p>
    <w:p w14:paraId="00042B9B" w14:textId="77777777" w:rsidR="001942FB" w:rsidRPr="00904855" w:rsidRDefault="001942FB" w:rsidP="001942FB">
      <w:pPr>
        <w:ind w:left="1800" w:hanging="1800"/>
        <w:rPr>
          <w:bCs/>
          <w:iCs/>
          <w:sz w:val="22"/>
          <w:szCs w:val="22"/>
        </w:rPr>
      </w:pPr>
      <w:r w:rsidRPr="00904855">
        <w:rPr>
          <w:bCs/>
          <w:iCs/>
          <w:sz w:val="22"/>
          <w:szCs w:val="22"/>
        </w:rPr>
        <w:t xml:space="preserve"> </w:t>
      </w:r>
    </w:p>
    <w:p w14:paraId="3B099301" w14:textId="77777777" w:rsidR="001942FB" w:rsidRPr="00904855" w:rsidRDefault="001942FB" w:rsidP="001942FB">
      <w:pPr>
        <w:ind w:left="1800" w:hanging="1800"/>
        <w:rPr>
          <w:b/>
          <w:iCs/>
          <w:sz w:val="22"/>
          <w:szCs w:val="22"/>
        </w:rPr>
      </w:pPr>
    </w:p>
    <w:p w14:paraId="795961F5" w14:textId="77777777" w:rsidR="001942FB" w:rsidRDefault="001942FB" w:rsidP="001942FB">
      <w:pPr>
        <w:ind w:left="1800" w:hanging="1800"/>
        <w:rPr>
          <w:b/>
          <w:iCs/>
          <w:sz w:val="22"/>
          <w:szCs w:val="22"/>
        </w:rPr>
      </w:pPr>
      <w:r w:rsidRPr="00904855">
        <w:rPr>
          <w:b/>
          <w:iCs/>
          <w:sz w:val="22"/>
          <w:szCs w:val="22"/>
        </w:rPr>
        <w:t>Notice of Free Choice of</w:t>
      </w:r>
    </w:p>
    <w:p w14:paraId="750FDE79" w14:textId="77777777" w:rsidR="001942FB" w:rsidRDefault="001942FB" w:rsidP="001942FB">
      <w:pPr>
        <w:ind w:left="1800" w:hanging="1800"/>
        <w:rPr>
          <w:b/>
          <w:iCs/>
          <w:sz w:val="22"/>
          <w:szCs w:val="22"/>
        </w:rPr>
      </w:pPr>
      <w:r w:rsidRPr="00904855">
        <w:rPr>
          <w:b/>
          <w:iCs/>
          <w:sz w:val="22"/>
          <w:szCs w:val="22"/>
        </w:rPr>
        <w:lastRenderedPageBreak/>
        <w:t>Agent and Insurer</w:t>
      </w:r>
    </w:p>
    <w:p w14:paraId="7CD6CC80" w14:textId="77777777" w:rsidR="001942FB" w:rsidRDefault="001942FB" w:rsidP="001942FB">
      <w:pPr>
        <w:ind w:left="1800" w:hanging="1800"/>
        <w:rPr>
          <w:b/>
          <w:iCs/>
          <w:sz w:val="22"/>
          <w:szCs w:val="22"/>
        </w:rPr>
      </w:pPr>
      <w:r w:rsidRPr="00904855">
        <w:rPr>
          <w:b/>
          <w:iCs/>
          <w:sz w:val="22"/>
          <w:szCs w:val="22"/>
        </w:rPr>
        <w:t>(Applicable for applications</w:t>
      </w:r>
    </w:p>
    <w:p w14:paraId="57705724" w14:textId="77777777" w:rsidR="001942FB" w:rsidRDefault="001942FB" w:rsidP="001942FB">
      <w:pPr>
        <w:ind w:left="1800" w:hanging="1800"/>
        <w:rPr>
          <w:b/>
          <w:iCs/>
          <w:sz w:val="22"/>
          <w:szCs w:val="22"/>
        </w:rPr>
      </w:pPr>
      <w:r w:rsidRPr="00904855">
        <w:rPr>
          <w:b/>
          <w:iCs/>
          <w:sz w:val="22"/>
          <w:szCs w:val="22"/>
        </w:rPr>
        <w:t>and loans subject</w:t>
      </w:r>
    </w:p>
    <w:p w14:paraId="0BCBD7AC" w14:textId="77777777" w:rsidR="001942FB" w:rsidRPr="00904855" w:rsidRDefault="001942FB" w:rsidP="001942FB">
      <w:pPr>
        <w:ind w:left="1800" w:hanging="1800"/>
        <w:rPr>
          <w:b/>
          <w:iCs/>
          <w:sz w:val="22"/>
          <w:szCs w:val="22"/>
        </w:rPr>
      </w:pPr>
      <w:r w:rsidRPr="00904855">
        <w:rPr>
          <w:b/>
          <w:iCs/>
          <w:sz w:val="22"/>
          <w:szCs w:val="22"/>
        </w:rPr>
        <w:t>to Kentucky law</w:t>
      </w:r>
      <w:proofErr w:type="gramStart"/>
      <w:r w:rsidRPr="00904855">
        <w:rPr>
          <w:b/>
          <w:iCs/>
          <w:sz w:val="22"/>
          <w:szCs w:val="22"/>
        </w:rPr>
        <w:t>)</w:t>
      </w:r>
      <w:r>
        <w:rPr>
          <w:b/>
          <w:iCs/>
          <w:sz w:val="22"/>
          <w:szCs w:val="22"/>
        </w:rPr>
        <w:t>:</w:t>
      </w:r>
      <w:r w:rsidRPr="00904855">
        <w:rPr>
          <w:bCs/>
          <w:iCs/>
          <w:sz w:val="22"/>
          <w:szCs w:val="22"/>
        </w:rPr>
        <w:t>The</w:t>
      </w:r>
      <w:proofErr w:type="gramEnd"/>
      <w:r w:rsidRPr="00904855">
        <w:rPr>
          <w:bCs/>
          <w:iCs/>
          <w:sz w:val="22"/>
          <w:szCs w:val="22"/>
        </w:rPr>
        <w:t xml:space="preserve"> Kentucky Insurance Code, KRS 304.12-150, provides that when insurance is required according to the terms of a debt or loan, </w:t>
      </w:r>
      <w:r>
        <w:rPr>
          <w:bCs/>
          <w:iCs/>
          <w:sz w:val="22"/>
          <w:szCs w:val="22"/>
        </w:rPr>
        <w:t>Borrower</w:t>
      </w:r>
      <w:r w:rsidRPr="00904855">
        <w:rPr>
          <w:bCs/>
          <w:iCs/>
          <w:sz w:val="22"/>
          <w:szCs w:val="22"/>
        </w:rPr>
        <w:t xml:space="preserve"> </w:t>
      </w:r>
      <w:r>
        <w:rPr>
          <w:bCs/>
          <w:iCs/>
          <w:sz w:val="22"/>
          <w:szCs w:val="22"/>
        </w:rPr>
        <w:t>has</w:t>
      </w:r>
      <w:r w:rsidRPr="00904855">
        <w:rPr>
          <w:bCs/>
          <w:iCs/>
          <w:sz w:val="22"/>
          <w:szCs w:val="22"/>
        </w:rPr>
        <w:t xml:space="preserve"> the right to choose the agent and/or insurer through or by which </w:t>
      </w:r>
      <w:r>
        <w:rPr>
          <w:bCs/>
          <w:iCs/>
          <w:sz w:val="22"/>
          <w:szCs w:val="22"/>
        </w:rPr>
        <w:t>Borrower’s</w:t>
      </w:r>
      <w:r w:rsidRPr="00904855">
        <w:rPr>
          <w:bCs/>
          <w:iCs/>
          <w:sz w:val="22"/>
          <w:szCs w:val="22"/>
        </w:rPr>
        <w:t xml:space="preserve"> insurance is to be placed. </w:t>
      </w:r>
      <w:r>
        <w:rPr>
          <w:bCs/>
          <w:iCs/>
          <w:sz w:val="22"/>
          <w:szCs w:val="22"/>
        </w:rPr>
        <w:t>Borrower’s</w:t>
      </w:r>
      <w:r w:rsidRPr="00904855">
        <w:rPr>
          <w:bCs/>
          <w:iCs/>
          <w:sz w:val="22"/>
          <w:szCs w:val="22"/>
        </w:rPr>
        <w:t xml:space="preserve"> free choice of an agent and/or insurer and an adequate insurance policy cannot be refused. If </w:t>
      </w:r>
      <w:r>
        <w:rPr>
          <w:bCs/>
          <w:iCs/>
          <w:sz w:val="22"/>
          <w:szCs w:val="22"/>
        </w:rPr>
        <w:t>Borrower</w:t>
      </w:r>
      <w:r w:rsidRPr="00904855">
        <w:rPr>
          <w:bCs/>
          <w:iCs/>
          <w:sz w:val="22"/>
          <w:szCs w:val="22"/>
        </w:rPr>
        <w:t xml:space="preserve">, as a consumer, </w:t>
      </w:r>
      <w:r>
        <w:rPr>
          <w:bCs/>
          <w:iCs/>
          <w:sz w:val="22"/>
          <w:szCs w:val="22"/>
        </w:rPr>
        <w:t>is</w:t>
      </w:r>
      <w:r w:rsidRPr="00904855">
        <w:rPr>
          <w:bCs/>
          <w:iCs/>
          <w:sz w:val="22"/>
          <w:szCs w:val="22"/>
        </w:rPr>
        <w:t xml:space="preserve"> denied </w:t>
      </w:r>
      <w:proofErr w:type="gramStart"/>
      <w:r>
        <w:rPr>
          <w:bCs/>
          <w:iCs/>
          <w:sz w:val="22"/>
          <w:szCs w:val="22"/>
        </w:rPr>
        <w:t>its</w:t>
      </w:r>
      <w:proofErr w:type="gramEnd"/>
      <w:r w:rsidRPr="00904855">
        <w:rPr>
          <w:bCs/>
          <w:iCs/>
          <w:sz w:val="22"/>
          <w:szCs w:val="22"/>
        </w:rPr>
        <w:t xml:space="preserve"> right to choose, or if an adequate insurance policy is refused, </w:t>
      </w:r>
      <w:r>
        <w:rPr>
          <w:bCs/>
          <w:iCs/>
          <w:sz w:val="22"/>
          <w:szCs w:val="22"/>
        </w:rPr>
        <w:t>Borrower</w:t>
      </w:r>
      <w:r w:rsidRPr="00904855">
        <w:rPr>
          <w:bCs/>
          <w:iCs/>
          <w:sz w:val="22"/>
          <w:szCs w:val="22"/>
        </w:rPr>
        <w:t xml:space="preserve"> should notify the Commissioner of Insurance at P.O. Box 517, Frankfort, Kentucky 40602 or 1-800-595-6053.</w:t>
      </w:r>
    </w:p>
    <w:p w14:paraId="261DA1ED" w14:textId="77777777" w:rsidR="001942FB" w:rsidRPr="00904855" w:rsidRDefault="001942FB" w:rsidP="001942FB">
      <w:pPr>
        <w:rPr>
          <w:bCs/>
          <w:iCs/>
          <w:sz w:val="22"/>
          <w:szCs w:val="22"/>
        </w:rPr>
      </w:pPr>
      <w:r w:rsidRPr="00904855">
        <w:rPr>
          <w:bCs/>
          <w:iCs/>
          <w:sz w:val="22"/>
          <w:szCs w:val="22"/>
        </w:rPr>
        <w:t xml:space="preserve"> </w:t>
      </w:r>
    </w:p>
    <w:p w14:paraId="59D9BCAA" w14:textId="77777777" w:rsidR="001942FB" w:rsidRDefault="001942FB" w:rsidP="001942FB">
      <w:pPr>
        <w:ind w:left="1800" w:hanging="1800"/>
        <w:rPr>
          <w:b/>
          <w:iCs/>
          <w:sz w:val="22"/>
          <w:szCs w:val="22"/>
        </w:rPr>
      </w:pPr>
      <w:r w:rsidRPr="00904855">
        <w:rPr>
          <w:b/>
          <w:iCs/>
          <w:sz w:val="22"/>
          <w:szCs w:val="22"/>
        </w:rPr>
        <w:t>Financial Institutions Disclosures</w:t>
      </w:r>
    </w:p>
    <w:p w14:paraId="1127AF1C" w14:textId="77777777" w:rsidR="001942FB" w:rsidRDefault="001942FB" w:rsidP="001942FB">
      <w:pPr>
        <w:ind w:left="1800" w:hanging="1800"/>
        <w:rPr>
          <w:b/>
          <w:iCs/>
          <w:sz w:val="22"/>
          <w:szCs w:val="22"/>
        </w:rPr>
      </w:pPr>
      <w:r w:rsidRPr="00904855">
        <w:rPr>
          <w:b/>
          <w:iCs/>
          <w:sz w:val="22"/>
          <w:szCs w:val="22"/>
        </w:rPr>
        <w:t>(For applications and loans</w:t>
      </w:r>
    </w:p>
    <w:p w14:paraId="3A75877C" w14:textId="77777777" w:rsidR="001942FB" w:rsidRDefault="001942FB" w:rsidP="001942FB">
      <w:pPr>
        <w:ind w:left="1800" w:hanging="1800"/>
        <w:rPr>
          <w:b/>
          <w:iCs/>
          <w:sz w:val="22"/>
          <w:szCs w:val="22"/>
        </w:rPr>
      </w:pPr>
      <w:r w:rsidRPr="00904855">
        <w:rPr>
          <w:b/>
          <w:iCs/>
          <w:sz w:val="22"/>
          <w:szCs w:val="22"/>
        </w:rPr>
        <w:t>subject to</w:t>
      </w:r>
    </w:p>
    <w:p w14:paraId="49DB705F" w14:textId="77777777" w:rsidR="001942FB" w:rsidRDefault="001942FB" w:rsidP="001942FB">
      <w:pPr>
        <w:ind w:left="1800" w:hanging="1800"/>
        <w:rPr>
          <w:b/>
          <w:iCs/>
          <w:sz w:val="22"/>
          <w:szCs w:val="22"/>
        </w:rPr>
      </w:pPr>
      <w:r w:rsidRPr="00904855">
        <w:rPr>
          <w:b/>
          <w:iCs/>
          <w:sz w:val="22"/>
          <w:szCs w:val="22"/>
        </w:rPr>
        <w:t>Kentucky law):</w:t>
      </w:r>
      <w:r>
        <w:rPr>
          <w:b/>
          <w:iCs/>
          <w:sz w:val="22"/>
          <w:szCs w:val="22"/>
        </w:rPr>
        <w:tab/>
      </w:r>
      <w:r w:rsidRPr="00904855">
        <w:rPr>
          <w:bCs/>
          <w:iCs/>
          <w:sz w:val="22"/>
          <w:szCs w:val="22"/>
        </w:rPr>
        <w:t xml:space="preserve">Kentucky Revised Statute 304.9-135 (2)(f) requires the following disclosures </w:t>
      </w:r>
      <w:proofErr w:type="gramStart"/>
      <w:r w:rsidRPr="00904855">
        <w:rPr>
          <w:bCs/>
          <w:iCs/>
          <w:sz w:val="22"/>
          <w:szCs w:val="22"/>
        </w:rPr>
        <w:t>be</w:t>
      </w:r>
      <w:proofErr w:type="gramEnd"/>
      <w:r w:rsidRPr="00904855">
        <w:rPr>
          <w:bCs/>
          <w:iCs/>
          <w:sz w:val="22"/>
          <w:szCs w:val="22"/>
        </w:rPr>
        <w:t xml:space="preserve"> provided to </w:t>
      </w:r>
      <w:r>
        <w:rPr>
          <w:bCs/>
          <w:iCs/>
          <w:sz w:val="22"/>
          <w:szCs w:val="22"/>
        </w:rPr>
        <w:t>Borrower</w:t>
      </w:r>
      <w:r w:rsidRPr="00904855">
        <w:rPr>
          <w:bCs/>
          <w:iCs/>
          <w:sz w:val="22"/>
          <w:szCs w:val="22"/>
        </w:rPr>
        <w:t>:</w:t>
      </w:r>
    </w:p>
    <w:p w14:paraId="0272BB91" w14:textId="77777777" w:rsidR="001942FB" w:rsidRDefault="001942FB" w:rsidP="001942FB">
      <w:pPr>
        <w:ind w:left="1800" w:hanging="1800"/>
        <w:rPr>
          <w:bCs/>
          <w:iCs/>
          <w:sz w:val="22"/>
          <w:szCs w:val="22"/>
        </w:rPr>
      </w:pPr>
    </w:p>
    <w:p w14:paraId="06924EFE" w14:textId="77777777" w:rsidR="001942FB" w:rsidRDefault="001942FB" w:rsidP="001942FB">
      <w:pPr>
        <w:ind w:left="1800"/>
        <w:rPr>
          <w:bCs/>
          <w:iCs/>
          <w:sz w:val="22"/>
          <w:szCs w:val="22"/>
        </w:rPr>
      </w:pPr>
      <w:r w:rsidRPr="00904855">
        <w:rPr>
          <w:bCs/>
          <w:iCs/>
          <w:sz w:val="22"/>
          <w:szCs w:val="22"/>
        </w:rPr>
        <w:t>1. The insurance offered by this financial institution (if any) is not a deposit.</w:t>
      </w:r>
    </w:p>
    <w:p w14:paraId="35ED2B49" w14:textId="77777777" w:rsidR="001942FB" w:rsidRDefault="001942FB" w:rsidP="001942FB">
      <w:pPr>
        <w:ind w:left="1800"/>
        <w:rPr>
          <w:b/>
          <w:iCs/>
          <w:sz w:val="22"/>
          <w:szCs w:val="22"/>
        </w:rPr>
      </w:pPr>
      <w:r w:rsidRPr="00904855">
        <w:rPr>
          <w:bCs/>
          <w:iCs/>
          <w:sz w:val="22"/>
          <w:szCs w:val="22"/>
        </w:rPr>
        <w:t xml:space="preserve">2. The insurance offered by this financial institution (if any) is not insured by the Federal Deposit Insurance Corporation or </w:t>
      </w:r>
      <w:proofErr w:type="gramStart"/>
      <w:r w:rsidRPr="00904855">
        <w:rPr>
          <w:bCs/>
          <w:iCs/>
          <w:sz w:val="22"/>
          <w:szCs w:val="22"/>
        </w:rPr>
        <w:t>other</w:t>
      </w:r>
      <w:proofErr w:type="gramEnd"/>
      <w:r w:rsidRPr="00904855">
        <w:rPr>
          <w:bCs/>
          <w:iCs/>
          <w:sz w:val="22"/>
          <w:szCs w:val="22"/>
        </w:rPr>
        <w:t xml:space="preserve"> government agency which insures deposits.</w:t>
      </w:r>
    </w:p>
    <w:p w14:paraId="66A26527" w14:textId="77777777" w:rsidR="001942FB" w:rsidRDefault="001942FB" w:rsidP="001942FB">
      <w:pPr>
        <w:ind w:left="1800"/>
        <w:rPr>
          <w:b/>
          <w:iCs/>
          <w:sz w:val="22"/>
          <w:szCs w:val="22"/>
        </w:rPr>
      </w:pPr>
      <w:r w:rsidRPr="00904855">
        <w:rPr>
          <w:bCs/>
          <w:iCs/>
          <w:sz w:val="22"/>
          <w:szCs w:val="22"/>
        </w:rPr>
        <w:t>3. Insurance offered by this financial institution (if any) is not guaranteed by the financial institution or any affiliate.</w:t>
      </w:r>
    </w:p>
    <w:p w14:paraId="7F0F6B52" w14:textId="77777777" w:rsidR="001942FB" w:rsidRPr="00904855" w:rsidRDefault="001942FB" w:rsidP="001942FB">
      <w:pPr>
        <w:ind w:left="1800"/>
        <w:rPr>
          <w:b/>
          <w:iCs/>
          <w:sz w:val="22"/>
          <w:szCs w:val="22"/>
        </w:rPr>
      </w:pPr>
      <w:r w:rsidRPr="00904855">
        <w:rPr>
          <w:bCs/>
          <w:iCs/>
          <w:sz w:val="22"/>
          <w:szCs w:val="22"/>
        </w:rPr>
        <w:t>4. The insurance may involve investment risks, including potential loss of principal.</w:t>
      </w:r>
    </w:p>
    <w:p w14:paraId="0D95270C" w14:textId="77777777" w:rsidR="001942FB" w:rsidRPr="00904855" w:rsidRDefault="001942FB" w:rsidP="001942FB">
      <w:pPr>
        <w:ind w:left="1800" w:hanging="1800"/>
        <w:rPr>
          <w:b/>
          <w:bCs/>
          <w:i/>
          <w:iCs/>
          <w:color w:val="000000"/>
          <w:sz w:val="21"/>
          <w:szCs w:val="21"/>
        </w:rPr>
      </w:pPr>
    </w:p>
    <w:p w14:paraId="2E07AD62" w14:textId="77777777" w:rsidR="001942FB" w:rsidRPr="00ED4505" w:rsidRDefault="001942FB" w:rsidP="001942FB">
      <w:pPr>
        <w:ind w:left="1800" w:hanging="1800"/>
        <w:rPr>
          <w:b/>
          <w:bCs/>
          <w:color w:val="000000"/>
          <w:sz w:val="21"/>
          <w:szCs w:val="21"/>
        </w:rPr>
      </w:pPr>
      <w:r w:rsidRPr="00ED4505">
        <w:rPr>
          <w:b/>
          <w:bCs/>
          <w:color w:val="000000"/>
          <w:sz w:val="21"/>
          <w:szCs w:val="21"/>
        </w:rPr>
        <w:t>Additionally:</w:t>
      </w:r>
    </w:p>
    <w:p w14:paraId="77936104" w14:textId="77777777" w:rsidR="001942FB" w:rsidRDefault="001942FB" w:rsidP="001942FB">
      <w:pPr>
        <w:ind w:left="1800" w:hanging="1800"/>
        <w:rPr>
          <w:b/>
          <w:bCs/>
          <w:i/>
          <w:iCs/>
          <w:color w:val="000000"/>
          <w:sz w:val="21"/>
          <w:szCs w:val="21"/>
        </w:rPr>
      </w:pPr>
    </w:p>
    <w:p w14:paraId="6BFDBD2D" w14:textId="77777777" w:rsidR="001942FB" w:rsidRPr="00904855" w:rsidRDefault="001942FB" w:rsidP="001942FB">
      <w:pPr>
        <w:ind w:left="1800" w:hanging="1800"/>
        <w:rPr>
          <w:bCs/>
          <w:iCs/>
          <w:szCs w:val="24"/>
        </w:rPr>
      </w:pPr>
      <w:r w:rsidRPr="00904855">
        <w:rPr>
          <w:b/>
          <w:bCs/>
          <w:i/>
          <w:iCs/>
          <w:color w:val="000000"/>
          <w:szCs w:val="24"/>
        </w:rPr>
        <w:t xml:space="preserve">Visit truist.com/privacy for details about Truist’s privacy practices and </w:t>
      </w:r>
      <w:r>
        <w:rPr>
          <w:b/>
          <w:bCs/>
          <w:i/>
          <w:iCs/>
          <w:color w:val="000000"/>
          <w:szCs w:val="24"/>
        </w:rPr>
        <w:t>Borrower’s</w:t>
      </w:r>
      <w:r w:rsidRPr="00904855">
        <w:rPr>
          <w:b/>
          <w:bCs/>
          <w:i/>
          <w:iCs/>
          <w:color w:val="000000"/>
          <w:szCs w:val="24"/>
        </w:rPr>
        <w:t xml:space="preserve"> privacy rights.</w:t>
      </w:r>
    </w:p>
    <w:p w14:paraId="16CE8DC5" w14:textId="77777777" w:rsidR="006A61F4" w:rsidRDefault="006A61F4"/>
    <w:sectPr w:rsidR="006A6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FB"/>
    <w:rsid w:val="001942FB"/>
    <w:rsid w:val="00261DDF"/>
    <w:rsid w:val="006A61F4"/>
    <w:rsid w:val="006E16C9"/>
    <w:rsid w:val="00A7604F"/>
    <w:rsid w:val="00B33607"/>
    <w:rsid w:val="00BB4BAD"/>
    <w:rsid w:val="00C448A9"/>
    <w:rsid w:val="00DD3590"/>
    <w:rsid w:val="00F74A0B"/>
    <w:rsid w:val="00FB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828A"/>
  <w15:chartTrackingRefBased/>
  <w15:docId w15:val="{F683466A-5835-498A-A1F8-B50450F7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2F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942F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42F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42FB"/>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42FB"/>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942FB"/>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942F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942F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942F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942FB"/>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2FB"/>
    <w:rPr>
      <w:rFonts w:eastAsiaTheme="majorEastAsia" w:cstheme="majorBidi"/>
      <w:color w:val="272727" w:themeColor="text1" w:themeTint="D8"/>
    </w:rPr>
  </w:style>
  <w:style w:type="paragraph" w:styleId="Title">
    <w:name w:val="Title"/>
    <w:basedOn w:val="Normal"/>
    <w:next w:val="Normal"/>
    <w:link w:val="TitleChar"/>
    <w:uiPriority w:val="10"/>
    <w:qFormat/>
    <w:rsid w:val="001942F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4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2F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4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2F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942FB"/>
    <w:rPr>
      <w:i/>
      <w:iCs/>
      <w:color w:val="404040" w:themeColor="text1" w:themeTint="BF"/>
    </w:rPr>
  </w:style>
  <w:style w:type="paragraph" w:styleId="ListParagraph">
    <w:name w:val="List Paragraph"/>
    <w:basedOn w:val="Normal"/>
    <w:uiPriority w:val="34"/>
    <w:qFormat/>
    <w:rsid w:val="001942FB"/>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942FB"/>
    <w:rPr>
      <w:i/>
      <w:iCs/>
      <w:color w:val="0F4761" w:themeColor="accent1" w:themeShade="BF"/>
    </w:rPr>
  </w:style>
  <w:style w:type="paragraph" w:styleId="IntenseQuote">
    <w:name w:val="Intense Quote"/>
    <w:basedOn w:val="Normal"/>
    <w:next w:val="Normal"/>
    <w:link w:val="IntenseQuoteChar"/>
    <w:uiPriority w:val="30"/>
    <w:qFormat/>
    <w:rsid w:val="001942F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942FB"/>
    <w:rPr>
      <w:i/>
      <w:iCs/>
      <w:color w:val="0F4761" w:themeColor="accent1" w:themeShade="BF"/>
    </w:rPr>
  </w:style>
  <w:style w:type="character" w:styleId="IntenseReference">
    <w:name w:val="Intense Reference"/>
    <w:basedOn w:val="DefaultParagraphFont"/>
    <w:uiPriority w:val="32"/>
    <w:qFormat/>
    <w:rsid w:val="001942FB"/>
    <w:rPr>
      <w:b/>
      <w:bCs/>
      <w:smallCaps/>
      <w:color w:val="0F4761" w:themeColor="accent1" w:themeShade="BF"/>
      <w:spacing w:val="5"/>
    </w:rPr>
  </w:style>
  <w:style w:type="paragraph" w:styleId="BodyText">
    <w:name w:val="Body Text"/>
    <w:aliases w:val="bt"/>
    <w:basedOn w:val="Normal"/>
    <w:link w:val="BodyTextChar"/>
    <w:rsid w:val="001942FB"/>
    <w:pPr>
      <w:spacing w:after="240"/>
      <w:ind w:firstLine="1440"/>
    </w:pPr>
  </w:style>
  <w:style w:type="character" w:customStyle="1" w:styleId="BodyTextChar">
    <w:name w:val="Body Text Char"/>
    <w:aliases w:val="bt Char"/>
    <w:basedOn w:val="DefaultParagraphFont"/>
    <w:link w:val="BodyText"/>
    <w:rsid w:val="001942FB"/>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503</Words>
  <Characters>2856</Characters>
  <Application>Microsoft Office Word</Application>
  <DocSecurity>0</DocSecurity>
  <Lines>77</Lines>
  <Paragraphs>40</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Standera, Jessica</dc:creator>
  <cp:keywords/>
  <dc:description/>
  <cp:lastModifiedBy>Standera, Jessica</cp:lastModifiedBy>
  <cp:revision>3</cp:revision>
  <dcterms:created xsi:type="dcterms:W3CDTF">2026-03-03T20:15:00Z</dcterms:created>
  <dcterms:modified xsi:type="dcterms:W3CDTF">2026-03-03T20:19:00Z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53fd28-7c6c-4226-ba59-0a48113e59e0_Enabled">
    <vt:lpwstr>true</vt:lpwstr>
  </property>
  <property fmtid="{D5CDD505-2E9C-101B-9397-08002B2CF9AE}" pid="3" name="MSIP_Label_bc53fd28-7c6c-4226-ba59-0a48113e59e0_SetDate">
    <vt:lpwstr>2026-03-03T20:17:11Z</vt:lpwstr>
  </property>
  <property fmtid="{D5CDD505-2E9C-101B-9397-08002B2CF9AE}" pid="4" name="MSIP_Label_bc53fd28-7c6c-4226-ba59-0a48113e59e0_Method">
    <vt:lpwstr>Privileged</vt:lpwstr>
  </property>
  <property fmtid="{D5CDD505-2E9C-101B-9397-08002B2CF9AE}" pid="5" name="MSIP_Label_bc53fd28-7c6c-4226-ba59-0a48113e59e0_Name">
    <vt:lpwstr>Private</vt:lpwstr>
  </property>
  <property fmtid="{D5CDD505-2E9C-101B-9397-08002B2CF9AE}" pid="6" name="MSIP_Label_bc53fd28-7c6c-4226-ba59-0a48113e59e0_SiteId">
    <vt:lpwstr>55651e97-f81c-4b3b-9131-af8a1cd02346</vt:lpwstr>
  </property>
  <property fmtid="{D5CDD505-2E9C-101B-9397-08002B2CF9AE}" pid="7" name="MSIP_Label_bc53fd28-7c6c-4226-ba59-0a48113e59e0_ActionId">
    <vt:lpwstr>c04a7496-3398-43f5-9df9-c245ddae2890</vt:lpwstr>
  </property>
  <property fmtid="{D5CDD505-2E9C-101B-9397-08002B2CF9AE}" pid="8" name="MSIP_Label_bc53fd28-7c6c-4226-ba59-0a48113e59e0_ContentBits">
    <vt:lpwstr>0</vt:lpwstr>
  </property>
  <property fmtid="{D5CDD505-2E9C-101B-9397-08002B2CF9AE}" pid="9" name="MSIP_Label_bc53fd28-7c6c-4226-ba59-0a48113e59e0_Tag">
    <vt:lpwstr>10, 0, 1, 1</vt:lpwstr>
  </property>
</Properties>
</file>