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39B" w:rsidRPr="002031F3" w:rsidRDefault="002C039B" w:rsidP="002C039B">
      <w:pPr>
        <w:pStyle w:val="KTitleCentered"/>
        <w:rPr>
          <w:sz w:val="22"/>
          <w:szCs w:val="22"/>
        </w:rPr>
      </w:pPr>
      <w:r w:rsidRPr="002031F3">
        <w:rPr>
          <w:sz w:val="22"/>
          <w:szCs w:val="22"/>
        </w:rPr>
        <w:t>SNDA</w:t>
      </w:r>
    </w:p>
    <w:p w:rsidR="002C039B" w:rsidRPr="002031F3" w:rsidRDefault="00AE32C9" w:rsidP="002031F3">
      <w:pPr>
        <w:pStyle w:val="KTitleCentered"/>
        <w:spacing w:after="0"/>
        <w:rPr>
          <w:sz w:val="22"/>
          <w:szCs w:val="22"/>
        </w:rPr>
      </w:pPr>
      <w:r w:rsidRPr="00AE32C9">
        <w:rPr>
          <w:sz w:val="22"/>
          <w:szCs w:val="22"/>
        </w:rPr>
        <w:t>TRUIST</w:t>
      </w:r>
      <w:r w:rsidR="009E154B" w:rsidRPr="002031F3">
        <w:rPr>
          <w:sz w:val="22"/>
          <w:szCs w:val="22"/>
        </w:rPr>
        <w:t xml:space="preserve"> </w:t>
      </w:r>
      <w:r w:rsidR="00D4749C" w:rsidRPr="002031F3">
        <w:rPr>
          <w:sz w:val="22"/>
          <w:szCs w:val="22"/>
        </w:rPr>
        <w:t>INSTRUCTIONS</w:t>
      </w:r>
      <w:r w:rsidR="002C039B" w:rsidRPr="002031F3">
        <w:rPr>
          <w:sz w:val="22"/>
          <w:szCs w:val="22"/>
        </w:rPr>
        <w:t xml:space="preserve"> TO DRAFTER</w:t>
      </w:r>
      <w:r w:rsidR="009E154B" w:rsidRPr="002031F3">
        <w:rPr>
          <w:sz w:val="22"/>
          <w:szCs w:val="22"/>
        </w:rPr>
        <w:t>/CLOSER</w:t>
      </w:r>
      <w:r w:rsidR="002031F3" w:rsidRPr="002031F3">
        <w:rPr>
          <w:sz w:val="22"/>
          <w:szCs w:val="22"/>
        </w:rPr>
        <w:t xml:space="preserve"> </w:t>
      </w:r>
    </w:p>
    <w:p w:rsidR="002031F3" w:rsidRPr="002031F3" w:rsidRDefault="002031F3" w:rsidP="002031F3">
      <w:pPr>
        <w:jc w:val="center"/>
        <w:rPr>
          <w:sz w:val="22"/>
          <w:szCs w:val="22"/>
        </w:rPr>
      </w:pPr>
      <w:r w:rsidRPr="002031F3">
        <w:rPr>
          <w:sz w:val="22"/>
          <w:szCs w:val="22"/>
        </w:rPr>
        <w:t>AND NEGOTIATION POINTS</w:t>
      </w:r>
    </w:p>
    <w:p w:rsidR="00B71978" w:rsidRDefault="00B71978" w:rsidP="00B71978"/>
    <w:p w:rsidR="00B71978" w:rsidRDefault="00A46F86" w:rsidP="00A46F86">
      <w:r>
        <w:t>1.</w:t>
      </w:r>
      <w:r w:rsidR="002031F3">
        <w:tab/>
      </w:r>
      <w:r w:rsidR="00B71978" w:rsidRPr="002031F3">
        <w:rPr>
          <w:u w:val="single"/>
        </w:rPr>
        <w:t>Without approval of credit</w:t>
      </w:r>
      <w:r w:rsidR="002E5FB7">
        <w:rPr>
          <w:u w:val="single"/>
        </w:rPr>
        <w:t xml:space="preserve"> and/or internal </w:t>
      </w:r>
      <w:r w:rsidR="00B71978" w:rsidRPr="002031F3">
        <w:rPr>
          <w:u w:val="single"/>
        </w:rPr>
        <w:t>legal as applicable, do not:</w:t>
      </w:r>
    </w:p>
    <w:p w:rsidR="00B71978" w:rsidRDefault="00B71978" w:rsidP="00B71978"/>
    <w:p w:rsidR="00C137BB" w:rsidRDefault="00B71978" w:rsidP="00B71978">
      <w:pPr>
        <w:pStyle w:val="ListParagraph"/>
        <w:numPr>
          <w:ilvl w:val="0"/>
          <w:numId w:val="1"/>
        </w:numPr>
      </w:pPr>
      <w:r>
        <w:t xml:space="preserve"> Sign an SNDA that will cause </w:t>
      </w:r>
      <w:r w:rsidR="00C137BB">
        <w:t>L</w:t>
      </w:r>
      <w:r>
        <w:t>ender</w:t>
      </w:r>
      <w:r w:rsidR="00C137BB">
        <w:t>/Successor Landlord</w:t>
      </w:r>
      <w:r>
        <w:t xml:space="preserve"> to be liable for base building construction</w:t>
      </w:r>
    </w:p>
    <w:p w:rsidR="002031F3" w:rsidRDefault="002031F3" w:rsidP="002031F3">
      <w:pPr>
        <w:pStyle w:val="ListParagraph"/>
      </w:pPr>
    </w:p>
    <w:p w:rsidR="00B71978" w:rsidRDefault="00B71978" w:rsidP="00B71978">
      <w:pPr>
        <w:pStyle w:val="ListParagraph"/>
        <w:numPr>
          <w:ilvl w:val="0"/>
          <w:numId w:val="1"/>
        </w:numPr>
      </w:pPr>
      <w:r>
        <w:t xml:space="preserve">Agree to give </w:t>
      </w:r>
      <w:r w:rsidR="00C137BB">
        <w:t>T</w:t>
      </w:r>
      <w:r>
        <w:t xml:space="preserve">enant </w:t>
      </w:r>
      <w:r w:rsidR="00C137BB">
        <w:t xml:space="preserve">notice of loan defaults and </w:t>
      </w:r>
      <w:r>
        <w:t>an extended cure</w:t>
      </w:r>
      <w:r w:rsidR="00C137BB">
        <w:t xml:space="preserve"> following notice</w:t>
      </w:r>
      <w:r>
        <w:t xml:space="preserve">.  </w:t>
      </w:r>
      <w:r w:rsidRPr="002031F3">
        <w:rPr>
          <w:u w:val="single"/>
        </w:rPr>
        <w:t>If</w:t>
      </w:r>
      <w:r>
        <w:t xml:space="preserve"> this provisio</w:t>
      </w:r>
      <w:bookmarkStart w:id="0" w:name="_GoBack"/>
      <w:bookmarkEnd w:id="0"/>
      <w:r>
        <w:t>n</w:t>
      </w:r>
      <w:r w:rsidR="00C137BB">
        <w:t xml:space="preserve"> is approved to</w:t>
      </w:r>
      <w:r>
        <w:t xml:space="preserve"> be given</w:t>
      </w:r>
      <w:r w:rsidR="002031F3">
        <w:t xml:space="preserve"> (should be rare), it</w:t>
      </w:r>
      <w:r>
        <w:t xml:space="preserve"> must clarify that </w:t>
      </w:r>
      <w:r w:rsidR="00C137BB">
        <w:t>L</w:t>
      </w:r>
      <w:r>
        <w:t>ender</w:t>
      </w:r>
      <w:r w:rsidR="002031F3">
        <w:t>’s</w:t>
      </w:r>
      <w:r>
        <w:t xml:space="preserve"> exercise of remedies is not affected by extended cure period</w:t>
      </w:r>
      <w:r w:rsidR="00C137BB">
        <w:t xml:space="preserve"> and provide appropriate ticklers in the loan file to ensure compliance</w:t>
      </w:r>
      <w:r w:rsidR="002031F3">
        <w:t>.</w:t>
      </w:r>
    </w:p>
    <w:p w:rsidR="002031F3" w:rsidRDefault="002031F3" w:rsidP="002031F3"/>
    <w:p w:rsidR="00B71978" w:rsidRDefault="00B71978" w:rsidP="00B71978">
      <w:pPr>
        <w:pStyle w:val="ListParagraph"/>
        <w:numPr>
          <w:ilvl w:val="0"/>
          <w:numId w:val="1"/>
        </w:numPr>
      </w:pPr>
      <w:r>
        <w:t>Sign an SNDA that does not limit</w:t>
      </w:r>
      <w:r w:rsidR="002031F3">
        <w:t xml:space="preserve"> lender</w:t>
      </w:r>
      <w:r w:rsidR="00066DDE">
        <w:t>/successor landlord</w:t>
      </w:r>
      <w:r>
        <w:t xml:space="preserve"> liability to interest in the lease, unless the underlying lease </w:t>
      </w:r>
      <w:r w:rsidR="00A46F86">
        <w:t xml:space="preserve">clearly </w:t>
      </w:r>
      <w:r>
        <w:t>contains such limitation</w:t>
      </w:r>
      <w:r w:rsidR="00A46F86">
        <w:t xml:space="preserve"> as to a successor landlord.</w:t>
      </w:r>
    </w:p>
    <w:p w:rsidR="00066DDE" w:rsidRDefault="00066DDE" w:rsidP="00066DDE">
      <w:pPr>
        <w:pStyle w:val="ListParagraph"/>
      </w:pPr>
    </w:p>
    <w:p w:rsidR="00066DDE" w:rsidRPr="00066DDE" w:rsidRDefault="00066DDE" w:rsidP="00066DDE">
      <w:pPr>
        <w:pStyle w:val="ListParagraph"/>
        <w:numPr>
          <w:ilvl w:val="0"/>
          <w:numId w:val="1"/>
        </w:numPr>
      </w:pPr>
      <w:r w:rsidRPr="00066DDE">
        <w:t>Sign an SNDA that will cause the Lender/successor landlord to be responsible for unquantifiable/uncapped liabilities of prior landlord/borrower.</w:t>
      </w:r>
    </w:p>
    <w:p w:rsidR="00066DDE" w:rsidRPr="00066DDE" w:rsidRDefault="00066DDE" w:rsidP="00066DDE">
      <w:pPr>
        <w:pStyle w:val="ListParagraph"/>
      </w:pPr>
    </w:p>
    <w:p w:rsidR="00066DDE" w:rsidRPr="00066DDE" w:rsidRDefault="00066DDE" w:rsidP="00066DDE">
      <w:pPr>
        <w:pStyle w:val="ListParagraph"/>
        <w:numPr>
          <w:ilvl w:val="0"/>
          <w:numId w:val="1"/>
        </w:numPr>
        <w:jc w:val="both"/>
      </w:pPr>
      <w:r w:rsidRPr="00066DDE">
        <w:t>Sign an SNDA that will cause Lender/successor landlord to be responsible to pay Tenant for amounts due from prior landlord/borrower rather than treat those amounts as an offset against rent.</w:t>
      </w:r>
    </w:p>
    <w:p w:rsidR="002031F3" w:rsidRDefault="002031F3" w:rsidP="002031F3"/>
    <w:p w:rsidR="00066DDE" w:rsidRDefault="00C137BB" w:rsidP="00066DDE">
      <w:pPr>
        <w:pStyle w:val="ListParagraph"/>
        <w:numPr>
          <w:ilvl w:val="0"/>
          <w:numId w:val="1"/>
        </w:numPr>
      </w:pPr>
      <w:r>
        <w:t>Sign an SNDA that will cause lease terms to govern over loan terms</w:t>
      </w:r>
      <w:r w:rsidR="00066DDE">
        <w:t xml:space="preserve"> as between Lender and Tenant</w:t>
      </w:r>
      <w:r>
        <w:t xml:space="preserve"> for insurance proceeds even if </w:t>
      </w:r>
      <w:r w:rsidR="00F52983">
        <w:t>Landl</w:t>
      </w:r>
      <w:r w:rsidR="00066DDE">
        <w:t>ord/</w:t>
      </w:r>
      <w:r>
        <w:t>borrower is in default, or that will cause Successor Landlord to be liable to reconstruct after casualty/condemnation to the extent insurance proceeds are not available therefor.</w:t>
      </w:r>
    </w:p>
    <w:p w:rsidR="002C039B" w:rsidRPr="006A56E7" w:rsidRDefault="002C039B" w:rsidP="002C039B">
      <w:pPr>
        <w:jc w:val="both"/>
        <w:rPr>
          <w:sz w:val="22"/>
          <w:szCs w:val="22"/>
        </w:rPr>
      </w:pPr>
    </w:p>
    <w:p w:rsidR="002031F3" w:rsidRDefault="002C039B" w:rsidP="002C039B">
      <w:pPr>
        <w:pStyle w:val="FootnoteText"/>
        <w:spacing w:after="120"/>
        <w:jc w:val="both"/>
        <w:rPr>
          <w:sz w:val="22"/>
          <w:szCs w:val="22"/>
        </w:rPr>
      </w:pPr>
      <w:r w:rsidRPr="00A46F86">
        <w:rPr>
          <w:sz w:val="22"/>
          <w:szCs w:val="22"/>
        </w:rPr>
        <w:t>2.</w:t>
      </w:r>
      <w:r w:rsidRPr="00A46F86">
        <w:rPr>
          <w:sz w:val="22"/>
          <w:szCs w:val="22"/>
        </w:rPr>
        <w:tab/>
      </w:r>
      <w:r w:rsidRPr="00A46F86">
        <w:rPr>
          <w:sz w:val="22"/>
          <w:szCs w:val="22"/>
          <w:u w:val="single"/>
        </w:rPr>
        <w:t>Section 4.1 Claims Against Former Landlord (Offset Rights)</w:t>
      </w:r>
      <w:r w:rsidRPr="00A46F86">
        <w:rPr>
          <w:sz w:val="22"/>
          <w:szCs w:val="22"/>
        </w:rPr>
        <w:t xml:space="preserve">:  </w:t>
      </w:r>
    </w:p>
    <w:p w:rsidR="002C039B" w:rsidRDefault="002C039B" w:rsidP="002031F3">
      <w:pPr>
        <w:pStyle w:val="FootnoteText"/>
        <w:spacing w:after="120"/>
        <w:ind w:left="720"/>
        <w:jc w:val="both"/>
        <w:rPr>
          <w:sz w:val="22"/>
          <w:szCs w:val="22"/>
        </w:rPr>
      </w:pPr>
      <w:r w:rsidRPr="00A46F86">
        <w:rPr>
          <w:sz w:val="22"/>
          <w:szCs w:val="22"/>
        </w:rPr>
        <w:t xml:space="preserve">If Tenant objects, consider adding at the end of the first sentence: “, other than Offset Rights expressly provided in </w:t>
      </w:r>
      <w:r w:rsidR="00B01A3D" w:rsidRPr="00A46F86">
        <w:rPr>
          <w:sz w:val="22"/>
          <w:szCs w:val="22"/>
        </w:rPr>
        <w:t xml:space="preserve">Section ____ of </w:t>
      </w:r>
      <w:r w:rsidRPr="00A46F86">
        <w:rPr>
          <w:sz w:val="22"/>
          <w:szCs w:val="22"/>
        </w:rPr>
        <w:t>the Lease”</w:t>
      </w:r>
      <w:r w:rsidR="00B01A3D" w:rsidRPr="00A46F86">
        <w:rPr>
          <w:sz w:val="22"/>
          <w:szCs w:val="22"/>
        </w:rPr>
        <w:t xml:space="preserve"> IF YOU HAVE REVIEWED AND FOUND SUCH OFFSETS ACCEPTABLE</w:t>
      </w:r>
      <w:r w:rsidRPr="00A46F86">
        <w:rPr>
          <w:sz w:val="22"/>
          <w:szCs w:val="22"/>
        </w:rPr>
        <w:t>.</w:t>
      </w:r>
    </w:p>
    <w:p w:rsidR="002031F3" w:rsidRPr="006A56E7" w:rsidRDefault="002031F3" w:rsidP="002C039B">
      <w:pPr>
        <w:pStyle w:val="FootnoteText"/>
        <w:spacing w:after="120"/>
        <w:jc w:val="both"/>
        <w:rPr>
          <w:sz w:val="22"/>
          <w:szCs w:val="22"/>
        </w:rPr>
      </w:pPr>
    </w:p>
    <w:p w:rsidR="002031F3" w:rsidRDefault="00A46F86" w:rsidP="002C039B">
      <w:pPr>
        <w:pStyle w:val="FootnoteTex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2C039B" w:rsidRPr="006A56E7">
        <w:rPr>
          <w:sz w:val="22"/>
          <w:szCs w:val="22"/>
        </w:rPr>
        <w:t>.</w:t>
      </w:r>
      <w:r w:rsidR="002C039B" w:rsidRPr="006A56E7">
        <w:rPr>
          <w:sz w:val="22"/>
          <w:szCs w:val="22"/>
        </w:rPr>
        <w:tab/>
      </w:r>
      <w:r w:rsidR="002C039B" w:rsidRPr="006A56E7">
        <w:rPr>
          <w:sz w:val="22"/>
          <w:szCs w:val="22"/>
          <w:u w:val="single"/>
        </w:rPr>
        <w:t xml:space="preserve">Section 4.5 </w:t>
      </w:r>
      <w:r w:rsidR="002C039B">
        <w:rPr>
          <w:sz w:val="22"/>
          <w:szCs w:val="22"/>
          <w:u w:val="single"/>
        </w:rPr>
        <w:t xml:space="preserve">Modification; Amendment; or Waiver </w:t>
      </w:r>
      <w:r w:rsidR="002C039B" w:rsidRPr="006A56E7">
        <w:rPr>
          <w:sz w:val="22"/>
          <w:szCs w:val="22"/>
          <w:u w:val="single"/>
        </w:rPr>
        <w:t>(amendments of Lease)</w:t>
      </w:r>
      <w:r w:rsidR="002C039B" w:rsidRPr="006A56E7">
        <w:rPr>
          <w:sz w:val="22"/>
          <w:szCs w:val="22"/>
        </w:rPr>
        <w:t xml:space="preserve">:  </w:t>
      </w:r>
    </w:p>
    <w:p w:rsidR="00B37E78" w:rsidRDefault="002C039B" w:rsidP="002031F3">
      <w:pPr>
        <w:pStyle w:val="FootnoteText"/>
        <w:spacing w:after="120"/>
        <w:ind w:left="720"/>
        <w:jc w:val="both"/>
        <w:rPr>
          <w:sz w:val="22"/>
          <w:szCs w:val="22"/>
        </w:rPr>
      </w:pPr>
      <w:r w:rsidRPr="006A56E7">
        <w:rPr>
          <w:sz w:val="22"/>
          <w:szCs w:val="22"/>
        </w:rPr>
        <w:t>If Tenant objects</w:t>
      </w:r>
      <w:r>
        <w:rPr>
          <w:sz w:val="22"/>
          <w:szCs w:val="22"/>
        </w:rPr>
        <w:t>,</w:t>
      </w:r>
      <w:r w:rsidRPr="006A56E7">
        <w:rPr>
          <w:sz w:val="22"/>
          <w:szCs w:val="22"/>
        </w:rPr>
        <w:t xml:space="preserve"> consider inserting </w:t>
      </w:r>
      <w:r>
        <w:rPr>
          <w:sz w:val="22"/>
          <w:szCs w:val="22"/>
        </w:rPr>
        <w:t>“</w:t>
      </w:r>
      <w:r w:rsidRPr="006A56E7">
        <w:rPr>
          <w:sz w:val="22"/>
          <w:szCs w:val="22"/>
        </w:rPr>
        <w:t>material</w:t>
      </w:r>
      <w:r>
        <w:rPr>
          <w:sz w:val="22"/>
          <w:szCs w:val="22"/>
        </w:rPr>
        <w:t>”</w:t>
      </w:r>
      <w:r w:rsidRPr="006A56E7">
        <w:rPr>
          <w:sz w:val="22"/>
          <w:szCs w:val="22"/>
        </w:rPr>
        <w:t xml:space="preserve"> before each of  </w:t>
      </w:r>
      <w:r>
        <w:rPr>
          <w:sz w:val="22"/>
          <w:szCs w:val="22"/>
        </w:rPr>
        <w:t>“</w:t>
      </w:r>
      <w:r w:rsidRPr="006A56E7">
        <w:rPr>
          <w:sz w:val="22"/>
          <w:szCs w:val="22"/>
        </w:rPr>
        <w:t>modification or amendment</w:t>
      </w:r>
      <w:r>
        <w:rPr>
          <w:sz w:val="22"/>
          <w:szCs w:val="22"/>
        </w:rPr>
        <w:t>”</w:t>
      </w:r>
      <w:r w:rsidRPr="006A56E7">
        <w:rPr>
          <w:sz w:val="22"/>
          <w:szCs w:val="22"/>
        </w:rPr>
        <w:t xml:space="preserve"> and </w:t>
      </w:r>
      <w:r>
        <w:rPr>
          <w:sz w:val="22"/>
          <w:szCs w:val="22"/>
        </w:rPr>
        <w:t>“</w:t>
      </w:r>
      <w:r w:rsidRPr="006A56E7">
        <w:rPr>
          <w:sz w:val="22"/>
          <w:szCs w:val="22"/>
        </w:rPr>
        <w:t>waiver</w:t>
      </w:r>
      <w:r>
        <w:rPr>
          <w:sz w:val="22"/>
          <w:szCs w:val="22"/>
        </w:rPr>
        <w:t>”,</w:t>
      </w:r>
      <w:r w:rsidRPr="006A56E7">
        <w:rPr>
          <w:sz w:val="22"/>
          <w:szCs w:val="22"/>
        </w:rPr>
        <w:t xml:space="preserve"> and adding the following sentence:  </w:t>
      </w:r>
      <w:r>
        <w:rPr>
          <w:sz w:val="22"/>
          <w:szCs w:val="22"/>
        </w:rPr>
        <w:t>“</w:t>
      </w:r>
      <w:r w:rsidRPr="006A56E7">
        <w:rPr>
          <w:sz w:val="22"/>
          <w:szCs w:val="22"/>
        </w:rPr>
        <w:t>For purposes hereof</w:t>
      </w:r>
      <w:r>
        <w:rPr>
          <w:sz w:val="22"/>
          <w:szCs w:val="22"/>
        </w:rPr>
        <w:t>,</w:t>
      </w:r>
      <w:r w:rsidRPr="006A56E7">
        <w:rPr>
          <w:sz w:val="22"/>
          <w:szCs w:val="22"/>
        </w:rPr>
        <w:t xml:space="preserve"> a </w:t>
      </w:r>
      <w:r>
        <w:rPr>
          <w:sz w:val="22"/>
          <w:szCs w:val="22"/>
        </w:rPr>
        <w:t>“</w:t>
      </w:r>
      <w:r w:rsidRPr="006A56E7">
        <w:rPr>
          <w:sz w:val="22"/>
          <w:szCs w:val="22"/>
        </w:rPr>
        <w:t>material</w:t>
      </w:r>
      <w:r>
        <w:rPr>
          <w:sz w:val="22"/>
          <w:szCs w:val="22"/>
        </w:rPr>
        <w:t>”</w:t>
      </w:r>
      <w:r w:rsidRPr="006A56E7">
        <w:rPr>
          <w:sz w:val="22"/>
          <w:szCs w:val="22"/>
        </w:rPr>
        <w:t xml:space="preserve"> amendment</w:t>
      </w:r>
      <w:r>
        <w:rPr>
          <w:sz w:val="22"/>
          <w:szCs w:val="22"/>
        </w:rPr>
        <w:t>,</w:t>
      </w:r>
      <w:r w:rsidRPr="006A56E7">
        <w:rPr>
          <w:sz w:val="22"/>
          <w:szCs w:val="22"/>
        </w:rPr>
        <w:t xml:space="preserve"> modification or waiver means one that </w:t>
      </w:r>
      <w:r w:rsidR="00B37E78">
        <w:rPr>
          <w:sz w:val="22"/>
          <w:szCs w:val="22"/>
        </w:rPr>
        <w:t>terminates the Lease or effects a voluntary surrender by Tenant; r</w:t>
      </w:r>
      <w:r w:rsidRPr="006A56E7">
        <w:rPr>
          <w:sz w:val="22"/>
          <w:szCs w:val="22"/>
        </w:rPr>
        <w:t>educes the rent</w:t>
      </w:r>
      <w:r>
        <w:rPr>
          <w:sz w:val="22"/>
          <w:szCs w:val="22"/>
        </w:rPr>
        <w:t>,</w:t>
      </w:r>
      <w:r w:rsidRPr="006A56E7">
        <w:rPr>
          <w:sz w:val="22"/>
          <w:szCs w:val="22"/>
        </w:rPr>
        <w:t xml:space="preserve"> term</w:t>
      </w:r>
      <w:r>
        <w:rPr>
          <w:sz w:val="22"/>
          <w:szCs w:val="22"/>
        </w:rPr>
        <w:t>,</w:t>
      </w:r>
      <w:r w:rsidRPr="006A56E7">
        <w:rPr>
          <w:sz w:val="22"/>
          <w:szCs w:val="22"/>
        </w:rPr>
        <w:t xml:space="preserve"> </w:t>
      </w:r>
      <w:r w:rsidR="00B37E78">
        <w:rPr>
          <w:sz w:val="22"/>
          <w:szCs w:val="22"/>
        </w:rPr>
        <w:t xml:space="preserve">or </w:t>
      </w:r>
      <w:r w:rsidRPr="006A56E7">
        <w:rPr>
          <w:sz w:val="22"/>
          <w:szCs w:val="22"/>
        </w:rPr>
        <w:t>size of Tenant</w:t>
      </w:r>
      <w:r>
        <w:rPr>
          <w:sz w:val="22"/>
          <w:szCs w:val="22"/>
        </w:rPr>
        <w:t>’</w:t>
      </w:r>
      <w:r w:rsidRPr="006A56E7">
        <w:rPr>
          <w:sz w:val="22"/>
          <w:szCs w:val="22"/>
        </w:rPr>
        <w:t>s Premises</w:t>
      </w:r>
      <w:r w:rsidR="00B37E78">
        <w:rPr>
          <w:sz w:val="22"/>
          <w:szCs w:val="22"/>
        </w:rPr>
        <w:t xml:space="preserve">;  reduces or </w:t>
      </w:r>
      <w:r w:rsidRPr="006A56E7">
        <w:rPr>
          <w:sz w:val="22"/>
          <w:szCs w:val="22"/>
        </w:rPr>
        <w:t>transfers to Landlord costs or expenses previously paid by Tenant</w:t>
      </w:r>
      <w:r w:rsidR="00B37E78">
        <w:rPr>
          <w:sz w:val="22"/>
          <w:szCs w:val="22"/>
        </w:rPr>
        <w:t>;</w:t>
      </w:r>
      <w:r w:rsidRPr="006A56E7">
        <w:rPr>
          <w:sz w:val="22"/>
          <w:szCs w:val="22"/>
        </w:rPr>
        <w:t xml:space="preserve"> adds options on the part of the Tenant to expand Tenant</w:t>
      </w:r>
      <w:r>
        <w:rPr>
          <w:sz w:val="22"/>
          <w:szCs w:val="22"/>
        </w:rPr>
        <w:t>’</w:t>
      </w:r>
      <w:r w:rsidRPr="006A56E7">
        <w:rPr>
          <w:sz w:val="22"/>
          <w:szCs w:val="22"/>
        </w:rPr>
        <w:t>s Premises or to purchase Landlord</w:t>
      </w:r>
      <w:r>
        <w:rPr>
          <w:sz w:val="22"/>
          <w:szCs w:val="22"/>
        </w:rPr>
        <w:t>’</w:t>
      </w:r>
      <w:r w:rsidRPr="006A56E7">
        <w:rPr>
          <w:sz w:val="22"/>
          <w:szCs w:val="22"/>
        </w:rPr>
        <w:t>s Premises; or otherwise materially increases Landlord</w:t>
      </w:r>
      <w:r>
        <w:rPr>
          <w:sz w:val="22"/>
          <w:szCs w:val="22"/>
        </w:rPr>
        <w:t>’</w:t>
      </w:r>
      <w:r w:rsidRPr="006A56E7">
        <w:rPr>
          <w:sz w:val="22"/>
          <w:szCs w:val="22"/>
        </w:rPr>
        <w:t>s obligations or decreases Tenant</w:t>
      </w:r>
      <w:r>
        <w:rPr>
          <w:sz w:val="22"/>
          <w:szCs w:val="22"/>
        </w:rPr>
        <w:t>’</w:t>
      </w:r>
      <w:r w:rsidRPr="006A56E7">
        <w:rPr>
          <w:sz w:val="22"/>
          <w:szCs w:val="22"/>
        </w:rPr>
        <w:t>s obligations under the Lease.</w:t>
      </w:r>
      <w:r>
        <w:rPr>
          <w:sz w:val="22"/>
          <w:szCs w:val="22"/>
        </w:rPr>
        <w:t>”</w:t>
      </w:r>
      <w:r w:rsidRPr="006A56E7">
        <w:rPr>
          <w:sz w:val="22"/>
          <w:szCs w:val="22"/>
        </w:rPr>
        <w:t xml:space="preserve">  </w:t>
      </w:r>
    </w:p>
    <w:p w:rsidR="002C039B" w:rsidRDefault="00B37E78" w:rsidP="002031F3">
      <w:pPr>
        <w:pStyle w:val="FootnoteText"/>
        <w:spacing w:after="12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Also</w:t>
      </w:r>
      <w:r w:rsidR="002C039B" w:rsidRPr="006A56E7">
        <w:rPr>
          <w:sz w:val="22"/>
          <w:szCs w:val="22"/>
        </w:rPr>
        <w:t xml:space="preserve"> consider adding the following language at the end of this Section:  </w:t>
      </w:r>
      <w:r w:rsidR="002C039B">
        <w:rPr>
          <w:sz w:val="22"/>
          <w:szCs w:val="22"/>
        </w:rPr>
        <w:t>“,</w:t>
      </w:r>
      <w:r w:rsidR="002C039B" w:rsidRPr="006A56E7">
        <w:rPr>
          <w:sz w:val="22"/>
          <w:szCs w:val="22"/>
        </w:rPr>
        <w:t xml:space="preserve"> to the extent such consent is required under the </w:t>
      </w:r>
      <w:r w:rsidR="00C137BB">
        <w:rPr>
          <w:sz w:val="22"/>
          <w:szCs w:val="22"/>
        </w:rPr>
        <w:t>Security Instrument</w:t>
      </w:r>
      <w:r w:rsidR="002C039B" w:rsidRPr="006A56E7">
        <w:rPr>
          <w:sz w:val="22"/>
          <w:szCs w:val="22"/>
        </w:rPr>
        <w:t xml:space="preserve"> or other Loan </w:t>
      </w:r>
      <w:r w:rsidR="00B71978">
        <w:rPr>
          <w:sz w:val="22"/>
          <w:szCs w:val="22"/>
        </w:rPr>
        <w:t>D</w:t>
      </w:r>
      <w:r w:rsidR="002C039B" w:rsidRPr="006A56E7">
        <w:rPr>
          <w:sz w:val="22"/>
          <w:szCs w:val="22"/>
        </w:rPr>
        <w:t>ocuments</w:t>
      </w:r>
      <w:r w:rsidR="002C039B">
        <w:rPr>
          <w:sz w:val="22"/>
          <w:szCs w:val="22"/>
        </w:rPr>
        <w:t>”</w:t>
      </w:r>
      <w:r w:rsidR="002C039B" w:rsidRPr="006A56E7">
        <w:rPr>
          <w:sz w:val="22"/>
          <w:szCs w:val="22"/>
        </w:rPr>
        <w:t>.</w:t>
      </w:r>
    </w:p>
    <w:p w:rsidR="002031F3" w:rsidRDefault="002031F3" w:rsidP="002031F3">
      <w:pPr>
        <w:pStyle w:val="FootnoteText"/>
        <w:spacing w:after="120"/>
        <w:ind w:left="720"/>
        <w:jc w:val="both"/>
        <w:rPr>
          <w:sz w:val="22"/>
          <w:szCs w:val="22"/>
        </w:rPr>
      </w:pPr>
    </w:p>
    <w:p w:rsidR="002031F3" w:rsidRDefault="00A46F86" w:rsidP="00D20326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2C039B" w:rsidRPr="006A56E7">
        <w:rPr>
          <w:sz w:val="22"/>
          <w:szCs w:val="22"/>
        </w:rPr>
        <w:t>.</w:t>
      </w:r>
      <w:r w:rsidR="002C039B" w:rsidRPr="006A56E7">
        <w:rPr>
          <w:sz w:val="22"/>
          <w:szCs w:val="22"/>
        </w:rPr>
        <w:tab/>
      </w:r>
      <w:r w:rsidR="002C039B">
        <w:rPr>
          <w:sz w:val="22"/>
          <w:szCs w:val="22"/>
          <w:u w:val="single"/>
        </w:rPr>
        <w:t xml:space="preserve">Section 4.7 </w:t>
      </w:r>
      <w:r w:rsidR="002C039B" w:rsidRPr="006A56E7">
        <w:rPr>
          <w:sz w:val="22"/>
          <w:szCs w:val="22"/>
          <w:u w:val="single"/>
        </w:rPr>
        <w:t>Construction-Related Obligations</w:t>
      </w:r>
      <w:r w:rsidR="002C039B" w:rsidRPr="006A56E7">
        <w:rPr>
          <w:sz w:val="22"/>
          <w:szCs w:val="22"/>
        </w:rPr>
        <w:t xml:space="preserve">:  </w:t>
      </w:r>
    </w:p>
    <w:p w:rsidR="002031F3" w:rsidRDefault="002031F3" w:rsidP="00D20326">
      <w:pPr>
        <w:jc w:val="both"/>
        <w:rPr>
          <w:sz w:val="22"/>
          <w:szCs w:val="22"/>
        </w:rPr>
      </w:pPr>
    </w:p>
    <w:p w:rsidR="008F7286" w:rsidRDefault="002C039B" w:rsidP="002031F3">
      <w:pPr>
        <w:ind w:left="720"/>
        <w:jc w:val="both"/>
        <w:rPr>
          <w:sz w:val="22"/>
          <w:szCs w:val="22"/>
        </w:rPr>
      </w:pPr>
      <w:r w:rsidRPr="006A56E7">
        <w:rPr>
          <w:sz w:val="22"/>
          <w:szCs w:val="22"/>
        </w:rPr>
        <w:lastRenderedPageBreak/>
        <w:t>Consider deleting this provision if in the case of a construction loan</w:t>
      </w:r>
      <w:r>
        <w:rPr>
          <w:sz w:val="22"/>
          <w:szCs w:val="22"/>
        </w:rPr>
        <w:t>,</w:t>
      </w:r>
      <w:r w:rsidRPr="006A56E7">
        <w:rPr>
          <w:sz w:val="22"/>
          <w:szCs w:val="22"/>
        </w:rPr>
        <w:t xml:space="preserve"> (i) the Construction-Related Obligations relate solely to tenant improvements or preparation of space for tenant improvements (as opposed to building the base building)</w:t>
      </w:r>
      <w:r>
        <w:rPr>
          <w:sz w:val="22"/>
          <w:szCs w:val="22"/>
        </w:rPr>
        <w:t>,</w:t>
      </w:r>
      <w:r w:rsidRPr="006A56E7">
        <w:rPr>
          <w:sz w:val="22"/>
          <w:szCs w:val="22"/>
        </w:rPr>
        <w:t xml:space="preserve"> (ii) the cost of the Construction-Related Obligations is included in the loan budget</w:t>
      </w:r>
      <w:r>
        <w:rPr>
          <w:sz w:val="22"/>
          <w:szCs w:val="22"/>
        </w:rPr>
        <w:t>,</w:t>
      </w:r>
      <w:r w:rsidRPr="006A56E7">
        <w:rPr>
          <w:sz w:val="22"/>
          <w:szCs w:val="22"/>
        </w:rPr>
        <w:t xml:space="preserve"> and (iii) a completion guaranty is provided that covers tenant improvements.  </w:t>
      </w:r>
    </w:p>
    <w:p w:rsidR="008F7286" w:rsidRDefault="008F7286" w:rsidP="002031F3">
      <w:pPr>
        <w:ind w:left="720"/>
        <w:jc w:val="both"/>
        <w:rPr>
          <w:sz w:val="22"/>
          <w:szCs w:val="22"/>
        </w:rPr>
      </w:pPr>
    </w:p>
    <w:p w:rsidR="00D20326" w:rsidRPr="008F7286" w:rsidRDefault="002C039B" w:rsidP="002031F3">
      <w:pPr>
        <w:ind w:left="720"/>
        <w:jc w:val="both"/>
        <w:rPr>
          <w:b/>
          <w:sz w:val="22"/>
          <w:szCs w:val="22"/>
        </w:rPr>
      </w:pPr>
      <w:r w:rsidRPr="006A56E7">
        <w:rPr>
          <w:sz w:val="22"/>
          <w:szCs w:val="22"/>
        </w:rPr>
        <w:t>If this provision is included</w:t>
      </w:r>
      <w:r>
        <w:rPr>
          <w:sz w:val="22"/>
          <w:szCs w:val="22"/>
        </w:rPr>
        <w:t>,</w:t>
      </w:r>
      <w:r w:rsidRPr="006A56E7">
        <w:rPr>
          <w:sz w:val="22"/>
          <w:szCs w:val="22"/>
        </w:rPr>
        <w:t xml:space="preserve"> and Tenant objects</w:t>
      </w:r>
      <w:r>
        <w:rPr>
          <w:sz w:val="22"/>
          <w:szCs w:val="22"/>
        </w:rPr>
        <w:t>,</w:t>
      </w:r>
      <w:r w:rsidRPr="006A56E7">
        <w:rPr>
          <w:sz w:val="22"/>
          <w:szCs w:val="22"/>
        </w:rPr>
        <w:t xml:space="preserve"> consider adding the following sentence:  </w:t>
      </w:r>
      <w:r>
        <w:rPr>
          <w:sz w:val="22"/>
          <w:szCs w:val="22"/>
        </w:rPr>
        <w:t>“</w:t>
      </w:r>
      <w:r w:rsidRPr="006A56E7">
        <w:rPr>
          <w:sz w:val="22"/>
          <w:szCs w:val="22"/>
        </w:rPr>
        <w:t>If Former Landlord has failed to perform Landlord</w:t>
      </w:r>
      <w:r>
        <w:rPr>
          <w:sz w:val="22"/>
          <w:szCs w:val="22"/>
        </w:rPr>
        <w:t>’</w:t>
      </w:r>
      <w:r w:rsidRPr="006A56E7">
        <w:rPr>
          <w:sz w:val="22"/>
          <w:szCs w:val="22"/>
        </w:rPr>
        <w:t>s Construction-Related Obligation(s) with respect to Tenant</w:t>
      </w:r>
      <w:r>
        <w:rPr>
          <w:sz w:val="22"/>
          <w:szCs w:val="22"/>
        </w:rPr>
        <w:t>’</w:t>
      </w:r>
      <w:r w:rsidRPr="006A56E7">
        <w:rPr>
          <w:sz w:val="22"/>
          <w:szCs w:val="22"/>
        </w:rPr>
        <w:t>s initial occupancy of Tenant</w:t>
      </w:r>
      <w:r>
        <w:rPr>
          <w:sz w:val="22"/>
          <w:szCs w:val="22"/>
        </w:rPr>
        <w:t>’</w:t>
      </w:r>
      <w:r w:rsidRPr="006A56E7">
        <w:rPr>
          <w:sz w:val="22"/>
          <w:szCs w:val="22"/>
        </w:rPr>
        <w:t>s Premises and Successor Landlord does not agree in writing within thirty (30) days after Tenant</w:t>
      </w:r>
      <w:r>
        <w:rPr>
          <w:sz w:val="22"/>
          <w:szCs w:val="22"/>
        </w:rPr>
        <w:t>’</w:t>
      </w:r>
      <w:r w:rsidRPr="006A56E7">
        <w:rPr>
          <w:sz w:val="22"/>
          <w:szCs w:val="22"/>
        </w:rPr>
        <w:t>s demand after the date of attornment to complete such Construction-Related Obligation(s) within a reasonable period</w:t>
      </w:r>
      <w:r>
        <w:rPr>
          <w:sz w:val="22"/>
          <w:szCs w:val="22"/>
        </w:rPr>
        <w:t>,</w:t>
      </w:r>
      <w:r w:rsidRPr="006A56E7">
        <w:rPr>
          <w:sz w:val="22"/>
          <w:szCs w:val="22"/>
        </w:rPr>
        <w:t xml:space="preserve"> then Tenant</w:t>
      </w:r>
      <w:r>
        <w:rPr>
          <w:sz w:val="22"/>
          <w:szCs w:val="22"/>
        </w:rPr>
        <w:t>,</w:t>
      </w:r>
      <w:r w:rsidRPr="006A56E7">
        <w:rPr>
          <w:sz w:val="22"/>
          <w:szCs w:val="22"/>
        </w:rPr>
        <w:t xml:space="preserve"> as its sole remedy</w:t>
      </w:r>
      <w:r>
        <w:rPr>
          <w:sz w:val="22"/>
          <w:szCs w:val="22"/>
        </w:rPr>
        <w:t>,</w:t>
      </w:r>
      <w:r w:rsidRPr="006A56E7">
        <w:rPr>
          <w:sz w:val="22"/>
          <w:szCs w:val="22"/>
        </w:rPr>
        <w:t xml:space="preserve"> shall have the right to elect either to terminate the Lease by written notice to Successor Landlord</w:t>
      </w:r>
      <w:r>
        <w:rPr>
          <w:sz w:val="22"/>
          <w:szCs w:val="22"/>
        </w:rPr>
        <w:t>,</w:t>
      </w:r>
      <w:r w:rsidRPr="006A56E7">
        <w:rPr>
          <w:sz w:val="22"/>
          <w:szCs w:val="22"/>
        </w:rPr>
        <w:t xml:space="preserve"> or to complete and pay for such Construction-Related Obligations and offset all reasonable costs thereby incurred (the </w:t>
      </w:r>
      <w:r>
        <w:rPr>
          <w:sz w:val="22"/>
          <w:szCs w:val="22"/>
        </w:rPr>
        <w:t>“</w:t>
      </w:r>
      <w:r w:rsidRPr="006A56E7">
        <w:rPr>
          <w:sz w:val="22"/>
          <w:szCs w:val="22"/>
          <w:u w:val="single"/>
        </w:rPr>
        <w:t>Construction Cost</w:t>
      </w:r>
      <w:r>
        <w:rPr>
          <w:sz w:val="22"/>
          <w:szCs w:val="22"/>
        </w:rPr>
        <w:t>”</w:t>
      </w:r>
      <w:r w:rsidRPr="006A56E7">
        <w:rPr>
          <w:sz w:val="22"/>
          <w:szCs w:val="22"/>
        </w:rPr>
        <w:t>) against any rent thereafter payable</w:t>
      </w:r>
      <w:r>
        <w:rPr>
          <w:sz w:val="22"/>
          <w:szCs w:val="22"/>
        </w:rPr>
        <w:t>,</w:t>
      </w:r>
      <w:r w:rsidRPr="006A56E7">
        <w:rPr>
          <w:sz w:val="22"/>
          <w:szCs w:val="22"/>
        </w:rPr>
        <w:t xml:space="preserve"> until Tenant shall have so recovered the entire Construction Cost.</w:t>
      </w:r>
      <w:r>
        <w:rPr>
          <w:sz w:val="22"/>
          <w:szCs w:val="22"/>
        </w:rPr>
        <w:t>”</w:t>
      </w:r>
      <w:r w:rsidRPr="006A56E7">
        <w:rPr>
          <w:sz w:val="22"/>
          <w:szCs w:val="22"/>
        </w:rPr>
        <w:t xml:space="preserve"> </w:t>
      </w:r>
      <w:r w:rsidR="00D20326" w:rsidRPr="008F7286">
        <w:rPr>
          <w:b/>
          <w:i/>
          <w:sz w:val="22"/>
          <w:szCs w:val="22"/>
        </w:rPr>
        <w:t>However</w:t>
      </w:r>
      <w:r w:rsidR="00D20326" w:rsidRPr="008F7286">
        <w:rPr>
          <w:b/>
          <w:sz w:val="22"/>
          <w:szCs w:val="22"/>
        </w:rPr>
        <w:t>, if the Construction-Related Obligations are to complete the base building, Tenant should have only a termination right and not an offset right.</w:t>
      </w:r>
    </w:p>
    <w:p w:rsidR="00D20326" w:rsidRDefault="00D20326" w:rsidP="00BF6E8A">
      <w:pPr>
        <w:jc w:val="both"/>
        <w:rPr>
          <w:sz w:val="22"/>
          <w:szCs w:val="22"/>
        </w:rPr>
      </w:pPr>
    </w:p>
    <w:p w:rsidR="002C039B" w:rsidRPr="006A56E7" w:rsidRDefault="00A46F86" w:rsidP="008F7286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2C039B" w:rsidRPr="006A56E7">
        <w:rPr>
          <w:sz w:val="22"/>
          <w:szCs w:val="22"/>
        </w:rPr>
        <w:t>.</w:t>
      </w:r>
      <w:r w:rsidR="002C039B" w:rsidRPr="006A56E7">
        <w:rPr>
          <w:sz w:val="22"/>
          <w:szCs w:val="22"/>
        </w:rPr>
        <w:tab/>
      </w:r>
      <w:r w:rsidR="002C039B" w:rsidRPr="006A56E7">
        <w:rPr>
          <w:sz w:val="22"/>
          <w:szCs w:val="22"/>
          <w:u w:val="single"/>
        </w:rPr>
        <w:t xml:space="preserve">Section 5 </w:t>
      </w:r>
      <w:r w:rsidR="002C039B">
        <w:rPr>
          <w:sz w:val="22"/>
          <w:szCs w:val="22"/>
          <w:u w:val="single"/>
        </w:rPr>
        <w:t>E</w:t>
      </w:r>
      <w:r w:rsidR="002C039B" w:rsidRPr="006A56E7">
        <w:rPr>
          <w:sz w:val="22"/>
          <w:szCs w:val="22"/>
          <w:u w:val="single"/>
        </w:rPr>
        <w:t>xculpation of Successor Landlord</w:t>
      </w:r>
      <w:r w:rsidR="002C039B" w:rsidRPr="006A56E7">
        <w:rPr>
          <w:sz w:val="22"/>
          <w:szCs w:val="22"/>
        </w:rPr>
        <w:t xml:space="preserve">:  Delete this provision if Tenant objects </w:t>
      </w:r>
      <w:r w:rsidR="00B01A3D">
        <w:rPr>
          <w:sz w:val="22"/>
          <w:szCs w:val="22"/>
        </w:rPr>
        <w:t>but only if</w:t>
      </w:r>
      <w:r w:rsidR="002C039B" w:rsidRPr="006A56E7">
        <w:rPr>
          <w:sz w:val="22"/>
          <w:szCs w:val="22"/>
        </w:rPr>
        <w:t xml:space="preserve"> a satisfactory exculpation provision is included in the Lease.</w:t>
      </w:r>
    </w:p>
    <w:p w:rsidR="002C039B" w:rsidRPr="006A56E7" w:rsidRDefault="002C039B" w:rsidP="00BF6E8A">
      <w:pPr>
        <w:jc w:val="both"/>
        <w:rPr>
          <w:sz w:val="22"/>
          <w:szCs w:val="22"/>
        </w:rPr>
      </w:pPr>
    </w:p>
    <w:p w:rsidR="00F54D4C" w:rsidRPr="00590D09" w:rsidRDefault="00A46F86" w:rsidP="008F7286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2C039B" w:rsidRPr="006A56E7">
        <w:rPr>
          <w:sz w:val="22"/>
          <w:szCs w:val="22"/>
        </w:rPr>
        <w:t>.</w:t>
      </w:r>
      <w:r w:rsidR="002C039B" w:rsidRPr="006A56E7">
        <w:rPr>
          <w:sz w:val="22"/>
          <w:szCs w:val="22"/>
        </w:rPr>
        <w:tab/>
      </w:r>
      <w:r w:rsidR="002C039B" w:rsidRPr="006A56E7">
        <w:rPr>
          <w:sz w:val="22"/>
          <w:szCs w:val="22"/>
          <w:u w:val="single"/>
        </w:rPr>
        <w:t xml:space="preserve">Section 6 </w:t>
      </w:r>
      <w:r w:rsidR="004715F3" w:rsidRPr="004715F3">
        <w:rPr>
          <w:sz w:val="22"/>
          <w:szCs w:val="22"/>
          <w:u w:val="single"/>
        </w:rPr>
        <w:t>Lender</w:t>
      </w:r>
      <w:r w:rsidR="002C039B">
        <w:rPr>
          <w:sz w:val="22"/>
          <w:szCs w:val="22"/>
          <w:u w:val="single"/>
        </w:rPr>
        <w:t>’s Right to Cure</w:t>
      </w:r>
      <w:r w:rsidR="002C039B" w:rsidRPr="006A56E7">
        <w:rPr>
          <w:sz w:val="22"/>
          <w:szCs w:val="22"/>
        </w:rPr>
        <w:t>:  If Tenant objects</w:t>
      </w:r>
      <w:r w:rsidR="002C039B">
        <w:rPr>
          <w:sz w:val="22"/>
          <w:szCs w:val="22"/>
        </w:rPr>
        <w:t>,</w:t>
      </w:r>
      <w:r w:rsidR="002C039B" w:rsidRPr="006A56E7">
        <w:rPr>
          <w:sz w:val="22"/>
          <w:szCs w:val="22"/>
        </w:rPr>
        <w:t xml:space="preserve"> consider reducing </w:t>
      </w:r>
      <w:r w:rsidR="002C039B">
        <w:rPr>
          <w:sz w:val="22"/>
          <w:szCs w:val="22"/>
        </w:rPr>
        <w:t>“</w:t>
      </w:r>
      <w:r w:rsidR="002C039B" w:rsidRPr="006A56E7">
        <w:rPr>
          <w:sz w:val="22"/>
          <w:szCs w:val="22"/>
        </w:rPr>
        <w:t>thirty (30)</w:t>
      </w:r>
      <w:r w:rsidR="002C039B">
        <w:rPr>
          <w:sz w:val="22"/>
          <w:szCs w:val="22"/>
        </w:rPr>
        <w:t>”</w:t>
      </w:r>
      <w:r w:rsidR="002C039B" w:rsidRPr="006A56E7">
        <w:rPr>
          <w:sz w:val="22"/>
          <w:szCs w:val="22"/>
        </w:rPr>
        <w:t xml:space="preserve"> days in both places in </w:t>
      </w:r>
      <w:r w:rsidR="002C039B" w:rsidRPr="006A56E7">
        <w:rPr>
          <w:sz w:val="22"/>
          <w:szCs w:val="22"/>
          <w:u w:val="single"/>
        </w:rPr>
        <w:t>Sections 6.2 and 6.3</w:t>
      </w:r>
      <w:r w:rsidR="002C039B" w:rsidRPr="006A56E7">
        <w:rPr>
          <w:sz w:val="22"/>
          <w:szCs w:val="22"/>
        </w:rPr>
        <w:t xml:space="preserve"> to </w:t>
      </w:r>
      <w:r w:rsidR="002C039B">
        <w:rPr>
          <w:sz w:val="22"/>
          <w:szCs w:val="22"/>
        </w:rPr>
        <w:t>“</w:t>
      </w:r>
      <w:r w:rsidR="002C039B" w:rsidRPr="00590D09">
        <w:rPr>
          <w:sz w:val="22"/>
          <w:szCs w:val="22"/>
        </w:rPr>
        <w:t xml:space="preserve">fifteen (15)” days, and adding at the end of </w:t>
      </w:r>
      <w:r w:rsidR="002C039B" w:rsidRPr="00590D09">
        <w:rPr>
          <w:sz w:val="22"/>
          <w:szCs w:val="22"/>
          <w:u w:val="single"/>
        </w:rPr>
        <w:t>Section 6.3</w:t>
      </w:r>
      <w:r w:rsidR="002C039B" w:rsidRPr="00590D09">
        <w:rPr>
          <w:sz w:val="22"/>
          <w:szCs w:val="22"/>
        </w:rPr>
        <w:t xml:space="preserve">:  “; provided, however, (i) the Extended Cure Period shall not exceed </w:t>
      </w:r>
      <w:r w:rsidR="00B80168" w:rsidRPr="00590D09">
        <w:rPr>
          <w:sz w:val="22"/>
          <w:szCs w:val="22"/>
        </w:rPr>
        <w:t>_________</w:t>
      </w:r>
      <w:r w:rsidR="002C039B" w:rsidRPr="00590D09">
        <w:rPr>
          <w:sz w:val="22"/>
          <w:szCs w:val="22"/>
        </w:rPr>
        <w:t xml:space="preserve"> (</w:t>
      </w:r>
      <w:r w:rsidR="00B80168" w:rsidRPr="00590D09">
        <w:rPr>
          <w:sz w:val="22"/>
          <w:szCs w:val="22"/>
        </w:rPr>
        <w:t>__</w:t>
      </w:r>
      <w:r w:rsidR="002C039B" w:rsidRPr="00590D09">
        <w:rPr>
          <w:sz w:val="22"/>
          <w:szCs w:val="22"/>
        </w:rPr>
        <w:t>) days</w:t>
      </w:r>
      <w:r w:rsidR="00B80168" w:rsidRPr="00590D09">
        <w:rPr>
          <w:sz w:val="22"/>
          <w:szCs w:val="22"/>
        </w:rPr>
        <w:t xml:space="preserve"> [</w:t>
      </w:r>
      <w:r w:rsidR="00B80168" w:rsidRPr="00590D09">
        <w:rPr>
          <w:sz w:val="22"/>
          <w:szCs w:val="22"/>
          <w:highlight w:val="yellow"/>
        </w:rPr>
        <w:t>confer with local counsel to complete</w:t>
      </w:r>
      <w:r w:rsidR="00B80168" w:rsidRPr="00590D09">
        <w:rPr>
          <w:sz w:val="22"/>
          <w:szCs w:val="22"/>
        </w:rPr>
        <w:t>]</w:t>
      </w:r>
      <w:r w:rsidR="002C039B" w:rsidRPr="00590D09">
        <w:rPr>
          <w:sz w:val="22"/>
          <w:szCs w:val="22"/>
        </w:rPr>
        <w:t xml:space="preserve">, and (ii) Mortgagor shall not be entitled to the Extended Cure Period unless it </w:t>
      </w:r>
      <w:r w:rsidR="00B37E78" w:rsidRPr="00590D09">
        <w:rPr>
          <w:sz w:val="22"/>
          <w:szCs w:val="22"/>
        </w:rPr>
        <w:t xml:space="preserve">takes action to </w:t>
      </w:r>
      <w:r w:rsidR="002C039B" w:rsidRPr="00590D09">
        <w:rPr>
          <w:sz w:val="22"/>
          <w:szCs w:val="22"/>
        </w:rPr>
        <w:t>commence</w:t>
      </w:r>
      <w:r w:rsidR="00B37E78" w:rsidRPr="00590D09">
        <w:rPr>
          <w:sz w:val="22"/>
          <w:szCs w:val="22"/>
        </w:rPr>
        <w:t xml:space="preserve"> cure or the exercise of remedies</w:t>
      </w:r>
      <w:r w:rsidR="002C039B" w:rsidRPr="00590D09">
        <w:rPr>
          <w:sz w:val="22"/>
          <w:szCs w:val="22"/>
        </w:rPr>
        <w:t xml:space="preserve"> within the initial fifteen (15) day cure period referred to in </w:t>
      </w:r>
      <w:r w:rsidR="002C039B" w:rsidRPr="00590D09">
        <w:rPr>
          <w:sz w:val="22"/>
          <w:szCs w:val="22"/>
          <w:u w:val="single"/>
        </w:rPr>
        <w:t>Section 6.2</w:t>
      </w:r>
      <w:r w:rsidR="002C039B" w:rsidRPr="00590D09">
        <w:rPr>
          <w:sz w:val="22"/>
          <w:szCs w:val="22"/>
        </w:rPr>
        <w:t xml:space="preserve">”.  </w:t>
      </w:r>
    </w:p>
    <w:p w:rsidR="0077111E" w:rsidRPr="00590D09" w:rsidRDefault="0077111E" w:rsidP="00BF6E8A">
      <w:pPr>
        <w:jc w:val="both"/>
        <w:rPr>
          <w:sz w:val="22"/>
          <w:szCs w:val="22"/>
        </w:rPr>
      </w:pPr>
    </w:p>
    <w:p w:rsidR="0077111E" w:rsidRPr="00590D09" w:rsidRDefault="00A46F86" w:rsidP="00590D09">
      <w:pPr>
        <w:ind w:left="720" w:hanging="720"/>
        <w:jc w:val="both"/>
        <w:rPr>
          <w:sz w:val="22"/>
          <w:szCs w:val="22"/>
        </w:rPr>
      </w:pPr>
      <w:r w:rsidRPr="00590D09">
        <w:rPr>
          <w:sz w:val="22"/>
          <w:szCs w:val="22"/>
        </w:rPr>
        <w:t>7</w:t>
      </w:r>
      <w:r w:rsidR="0077111E" w:rsidRPr="00590D09">
        <w:rPr>
          <w:sz w:val="22"/>
          <w:szCs w:val="22"/>
        </w:rPr>
        <w:t>.</w:t>
      </w:r>
      <w:r w:rsidR="0077111E" w:rsidRPr="00590D09">
        <w:rPr>
          <w:sz w:val="22"/>
          <w:szCs w:val="22"/>
        </w:rPr>
        <w:tab/>
      </w:r>
      <w:r w:rsidR="0046202C" w:rsidRPr="00590D09">
        <w:rPr>
          <w:sz w:val="22"/>
          <w:szCs w:val="22"/>
          <w:u w:val="single"/>
        </w:rPr>
        <w:t>Section 7 Confirmation of Facts</w:t>
      </w:r>
      <w:r w:rsidR="0046202C" w:rsidRPr="00590D09">
        <w:rPr>
          <w:sz w:val="22"/>
          <w:szCs w:val="22"/>
        </w:rPr>
        <w:t>: Delete and replace with “</w:t>
      </w:r>
      <w:r w:rsidR="0046202C" w:rsidRPr="00590D09">
        <w:rPr>
          <w:i/>
          <w:sz w:val="22"/>
          <w:szCs w:val="22"/>
          <w:u w:val="single"/>
        </w:rPr>
        <w:t>intentionally omitted</w:t>
      </w:r>
      <w:r w:rsidR="0046202C" w:rsidRPr="00590D09">
        <w:rPr>
          <w:sz w:val="22"/>
          <w:szCs w:val="22"/>
        </w:rPr>
        <w:t>” if the lease is a</w:t>
      </w:r>
      <w:r w:rsidR="0077111E" w:rsidRPr="00590D09">
        <w:rPr>
          <w:sz w:val="22"/>
          <w:szCs w:val="22"/>
        </w:rPr>
        <w:t xml:space="preserve"> new lease or </w:t>
      </w:r>
      <w:r w:rsidR="0046202C" w:rsidRPr="00590D09">
        <w:rPr>
          <w:sz w:val="22"/>
          <w:szCs w:val="22"/>
        </w:rPr>
        <w:t>if borrower has delivered a</w:t>
      </w:r>
      <w:r w:rsidR="0077111E" w:rsidRPr="00590D09">
        <w:rPr>
          <w:sz w:val="22"/>
          <w:szCs w:val="22"/>
        </w:rPr>
        <w:t xml:space="preserve"> separate current </w:t>
      </w:r>
      <w:r w:rsidR="0046202C" w:rsidRPr="00590D09">
        <w:rPr>
          <w:sz w:val="22"/>
          <w:szCs w:val="22"/>
        </w:rPr>
        <w:t>estoppel.</w:t>
      </w:r>
    </w:p>
    <w:p w:rsidR="0077111E" w:rsidRPr="00590D09" w:rsidRDefault="0077111E" w:rsidP="00BF6E8A">
      <w:pPr>
        <w:jc w:val="both"/>
        <w:rPr>
          <w:sz w:val="22"/>
          <w:szCs w:val="22"/>
        </w:rPr>
      </w:pPr>
    </w:p>
    <w:sectPr w:rsidR="0077111E" w:rsidRPr="00590D09" w:rsidSect="00E2351F">
      <w:foot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0F3" w:rsidRDefault="00C020F3" w:rsidP="005D0598">
      <w:r>
        <w:separator/>
      </w:r>
    </w:p>
  </w:endnote>
  <w:endnote w:type="continuationSeparator" w:id="0">
    <w:p w:rsidR="00C020F3" w:rsidRDefault="00C020F3" w:rsidP="005D0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11E" w:rsidRPr="00D4749C" w:rsidRDefault="0077111E" w:rsidP="00D4749C">
    <w:pPr>
      <w:pStyle w:val="Footer"/>
      <w:rPr>
        <w:sz w:val="20"/>
        <w:szCs w:val="20"/>
      </w:rPr>
    </w:pPr>
    <w:r>
      <w:rPr>
        <w:sz w:val="20"/>
        <w:szCs w:val="20"/>
      </w:rPr>
      <w:t>S</w:t>
    </w:r>
    <w:r w:rsidRPr="00D4749C">
      <w:rPr>
        <w:sz w:val="20"/>
        <w:szCs w:val="20"/>
      </w:rPr>
      <w:t xml:space="preserve">NDA - </w:t>
    </w:r>
    <w:r>
      <w:rPr>
        <w:sz w:val="20"/>
        <w:szCs w:val="20"/>
      </w:rPr>
      <w:t>Instructions</w:t>
    </w:r>
    <w:r w:rsidRPr="00D4749C">
      <w:rPr>
        <w:sz w:val="20"/>
        <w:szCs w:val="20"/>
      </w:rPr>
      <w:t xml:space="preserve"> to Drafter</w:t>
    </w:r>
  </w:p>
  <w:p w:rsidR="0077111E" w:rsidRPr="00D4749C" w:rsidRDefault="0077111E" w:rsidP="00D4749C">
    <w:pPr>
      <w:pStyle w:val="Footer"/>
      <w:rPr>
        <w:sz w:val="20"/>
        <w:szCs w:val="20"/>
      </w:rPr>
    </w:pPr>
    <w:r w:rsidRPr="00D4749C">
      <w:rPr>
        <w:sz w:val="20"/>
        <w:szCs w:val="20"/>
      </w:rPr>
      <w:t>Revised</w:t>
    </w:r>
    <w:r w:rsidR="00331E11">
      <w:rPr>
        <w:sz w:val="20"/>
        <w:szCs w:val="20"/>
      </w:rPr>
      <w:t xml:space="preserve"> January 2015</w:t>
    </w:r>
    <w:r w:rsidR="00AE32C9">
      <w:rPr>
        <w:sz w:val="20"/>
        <w:szCs w:val="20"/>
      </w:rPr>
      <w:t xml:space="preserve"> / December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0F3" w:rsidRDefault="00C020F3" w:rsidP="005D0598">
      <w:r>
        <w:separator/>
      </w:r>
    </w:p>
  </w:footnote>
  <w:footnote w:type="continuationSeparator" w:id="0">
    <w:p w:rsidR="00C020F3" w:rsidRDefault="00C020F3" w:rsidP="005D0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7C67"/>
    <w:multiLevelType w:val="hybridMultilevel"/>
    <w:tmpl w:val="E0001C56"/>
    <w:lvl w:ilvl="0" w:tplc="79042D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E1CC7"/>
    <w:multiLevelType w:val="hybridMultilevel"/>
    <w:tmpl w:val="7FA0B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66991"/>
    <w:multiLevelType w:val="hybridMultilevel"/>
    <w:tmpl w:val="C1F445D6"/>
    <w:lvl w:ilvl="0" w:tplc="AB381A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404AFE"/>
    <w:multiLevelType w:val="hybridMultilevel"/>
    <w:tmpl w:val="5BC64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656998"/>
    <w:multiLevelType w:val="hybridMultilevel"/>
    <w:tmpl w:val="AE7C469A"/>
    <w:lvl w:ilvl="0" w:tplc="E4F087E4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39B"/>
    <w:rsid w:val="00022E1A"/>
    <w:rsid w:val="00025D26"/>
    <w:rsid w:val="00026719"/>
    <w:rsid w:val="00032B2D"/>
    <w:rsid w:val="00053347"/>
    <w:rsid w:val="00066DDE"/>
    <w:rsid w:val="00075A83"/>
    <w:rsid w:val="0009582E"/>
    <w:rsid w:val="000B6F31"/>
    <w:rsid w:val="000C1783"/>
    <w:rsid w:val="000C4BB5"/>
    <w:rsid w:val="000E2333"/>
    <w:rsid w:val="000F1B4F"/>
    <w:rsid w:val="00111DCD"/>
    <w:rsid w:val="00116BDB"/>
    <w:rsid w:val="00116CEA"/>
    <w:rsid w:val="00131934"/>
    <w:rsid w:val="00146738"/>
    <w:rsid w:val="00153871"/>
    <w:rsid w:val="00167C7A"/>
    <w:rsid w:val="001756B3"/>
    <w:rsid w:val="001834CC"/>
    <w:rsid w:val="00197DAA"/>
    <w:rsid w:val="001A1BE8"/>
    <w:rsid w:val="001A6DC5"/>
    <w:rsid w:val="001D101E"/>
    <w:rsid w:val="001D5C27"/>
    <w:rsid w:val="001D650F"/>
    <w:rsid w:val="001D7583"/>
    <w:rsid w:val="001E35C2"/>
    <w:rsid w:val="001E49EF"/>
    <w:rsid w:val="001F5AD7"/>
    <w:rsid w:val="002031F3"/>
    <w:rsid w:val="00203B33"/>
    <w:rsid w:val="00212F78"/>
    <w:rsid w:val="002244E1"/>
    <w:rsid w:val="00240462"/>
    <w:rsid w:val="0024170D"/>
    <w:rsid w:val="00266F31"/>
    <w:rsid w:val="00283213"/>
    <w:rsid w:val="002930A9"/>
    <w:rsid w:val="00293360"/>
    <w:rsid w:val="002B1F54"/>
    <w:rsid w:val="002B3DE5"/>
    <w:rsid w:val="002B530E"/>
    <w:rsid w:val="002B7DCD"/>
    <w:rsid w:val="002C039B"/>
    <w:rsid w:val="002C7DA4"/>
    <w:rsid w:val="002D46CE"/>
    <w:rsid w:val="002D57C4"/>
    <w:rsid w:val="002E5FB7"/>
    <w:rsid w:val="002F17F7"/>
    <w:rsid w:val="003105C8"/>
    <w:rsid w:val="00331E11"/>
    <w:rsid w:val="003345CD"/>
    <w:rsid w:val="00370AD4"/>
    <w:rsid w:val="00371780"/>
    <w:rsid w:val="003911EB"/>
    <w:rsid w:val="003A5652"/>
    <w:rsid w:val="003F50BE"/>
    <w:rsid w:val="0043075D"/>
    <w:rsid w:val="00461261"/>
    <w:rsid w:val="0046202C"/>
    <w:rsid w:val="004639D6"/>
    <w:rsid w:val="004715F3"/>
    <w:rsid w:val="0047301B"/>
    <w:rsid w:val="00495F5D"/>
    <w:rsid w:val="004A6C7A"/>
    <w:rsid w:val="004D5C10"/>
    <w:rsid w:val="004E4774"/>
    <w:rsid w:val="0052096C"/>
    <w:rsid w:val="00520BD6"/>
    <w:rsid w:val="00557333"/>
    <w:rsid w:val="00561B5C"/>
    <w:rsid w:val="00581760"/>
    <w:rsid w:val="00590D09"/>
    <w:rsid w:val="005A2D29"/>
    <w:rsid w:val="005C10C3"/>
    <w:rsid w:val="005C369C"/>
    <w:rsid w:val="005C5D9B"/>
    <w:rsid w:val="005D0598"/>
    <w:rsid w:val="005D4DE1"/>
    <w:rsid w:val="005D5C31"/>
    <w:rsid w:val="005E7441"/>
    <w:rsid w:val="005F7933"/>
    <w:rsid w:val="00613208"/>
    <w:rsid w:val="00616593"/>
    <w:rsid w:val="00621781"/>
    <w:rsid w:val="00625D53"/>
    <w:rsid w:val="006620FB"/>
    <w:rsid w:val="00663300"/>
    <w:rsid w:val="006669E7"/>
    <w:rsid w:val="00684008"/>
    <w:rsid w:val="00687A7B"/>
    <w:rsid w:val="00690984"/>
    <w:rsid w:val="0069567F"/>
    <w:rsid w:val="006A54FA"/>
    <w:rsid w:val="006B2608"/>
    <w:rsid w:val="006B5DD5"/>
    <w:rsid w:val="006D268C"/>
    <w:rsid w:val="006D6C24"/>
    <w:rsid w:val="006E156D"/>
    <w:rsid w:val="006F0C5C"/>
    <w:rsid w:val="00737A95"/>
    <w:rsid w:val="00737EA1"/>
    <w:rsid w:val="00750492"/>
    <w:rsid w:val="0075318A"/>
    <w:rsid w:val="0076098D"/>
    <w:rsid w:val="007610FB"/>
    <w:rsid w:val="0077111E"/>
    <w:rsid w:val="007870C6"/>
    <w:rsid w:val="00793A60"/>
    <w:rsid w:val="007B0F47"/>
    <w:rsid w:val="007B61C5"/>
    <w:rsid w:val="007B7BFC"/>
    <w:rsid w:val="007C0A99"/>
    <w:rsid w:val="007C3828"/>
    <w:rsid w:val="007D7904"/>
    <w:rsid w:val="007F030E"/>
    <w:rsid w:val="007F2B4B"/>
    <w:rsid w:val="008161FC"/>
    <w:rsid w:val="00832533"/>
    <w:rsid w:val="00834D90"/>
    <w:rsid w:val="00842715"/>
    <w:rsid w:val="00861EEA"/>
    <w:rsid w:val="00864297"/>
    <w:rsid w:val="00880AAD"/>
    <w:rsid w:val="00883BF9"/>
    <w:rsid w:val="00896651"/>
    <w:rsid w:val="008C2902"/>
    <w:rsid w:val="008D2605"/>
    <w:rsid w:val="008D2A1A"/>
    <w:rsid w:val="008E4D86"/>
    <w:rsid w:val="008E7455"/>
    <w:rsid w:val="008F64D0"/>
    <w:rsid w:val="008F7286"/>
    <w:rsid w:val="008F74AF"/>
    <w:rsid w:val="00912581"/>
    <w:rsid w:val="00945AB0"/>
    <w:rsid w:val="00953D1D"/>
    <w:rsid w:val="009540BE"/>
    <w:rsid w:val="009725FA"/>
    <w:rsid w:val="009831A7"/>
    <w:rsid w:val="009A32FA"/>
    <w:rsid w:val="009B4E7C"/>
    <w:rsid w:val="009C778E"/>
    <w:rsid w:val="009D3571"/>
    <w:rsid w:val="009E154B"/>
    <w:rsid w:val="009F50EF"/>
    <w:rsid w:val="00A032EB"/>
    <w:rsid w:val="00A2383C"/>
    <w:rsid w:val="00A23902"/>
    <w:rsid w:val="00A2626F"/>
    <w:rsid w:val="00A36480"/>
    <w:rsid w:val="00A46F86"/>
    <w:rsid w:val="00A505A5"/>
    <w:rsid w:val="00A52A34"/>
    <w:rsid w:val="00A538D3"/>
    <w:rsid w:val="00A554D0"/>
    <w:rsid w:val="00A57DE3"/>
    <w:rsid w:val="00A83182"/>
    <w:rsid w:val="00AA1EC0"/>
    <w:rsid w:val="00AD3337"/>
    <w:rsid w:val="00AE20A4"/>
    <w:rsid w:val="00AE32C9"/>
    <w:rsid w:val="00AE61CA"/>
    <w:rsid w:val="00AE7F1C"/>
    <w:rsid w:val="00B01A3D"/>
    <w:rsid w:val="00B06A5A"/>
    <w:rsid w:val="00B14B01"/>
    <w:rsid w:val="00B17ACE"/>
    <w:rsid w:val="00B23BED"/>
    <w:rsid w:val="00B248C1"/>
    <w:rsid w:val="00B37E78"/>
    <w:rsid w:val="00B4761F"/>
    <w:rsid w:val="00B55059"/>
    <w:rsid w:val="00B66CA1"/>
    <w:rsid w:val="00B71978"/>
    <w:rsid w:val="00B72829"/>
    <w:rsid w:val="00B74785"/>
    <w:rsid w:val="00B80168"/>
    <w:rsid w:val="00B829EE"/>
    <w:rsid w:val="00B87861"/>
    <w:rsid w:val="00BD15B2"/>
    <w:rsid w:val="00BD5B6C"/>
    <w:rsid w:val="00BD69F8"/>
    <w:rsid w:val="00BF6E8A"/>
    <w:rsid w:val="00C020F3"/>
    <w:rsid w:val="00C0711A"/>
    <w:rsid w:val="00C10E67"/>
    <w:rsid w:val="00C1317A"/>
    <w:rsid w:val="00C137BB"/>
    <w:rsid w:val="00C36C75"/>
    <w:rsid w:val="00C43032"/>
    <w:rsid w:val="00C55FAB"/>
    <w:rsid w:val="00C700F9"/>
    <w:rsid w:val="00C73785"/>
    <w:rsid w:val="00C73BD5"/>
    <w:rsid w:val="00C8180C"/>
    <w:rsid w:val="00C82672"/>
    <w:rsid w:val="00C93EA3"/>
    <w:rsid w:val="00C953F0"/>
    <w:rsid w:val="00CA0103"/>
    <w:rsid w:val="00CA77CC"/>
    <w:rsid w:val="00CB7431"/>
    <w:rsid w:val="00CC61B8"/>
    <w:rsid w:val="00CD065D"/>
    <w:rsid w:val="00CE74CF"/>
    <w:rsid w:val="00CE7A71"/>
    <w:rsid w:val="00CF6B1B"/>
    <w:rsid w:val="00D012D8"/>
    <w:rsid w:val="00D0143A"/>
    <w:rsid w:val="00D20326"/>
    <w:rsid w:val="00D25470"/>
    <w:rsid w:val="00D4749C"/>
    <w:rsid w:val="00D55105"/>
    <w:rsid w:val="00D633F4"/>
    <w:rsid w:val="00D77074"/>
    <w:rsid w:val="00D825DF"/>
    <w:rsid w:val="00DC21D0"/>
    <w:rsid w:val="00DE56A3"/>
    <w:rsid w:val="00DF32EC"/>
    <w:rsid w:val="00E16B4C"/>
    <w:rsid w:val="00E20395"/>
    <w:rsid w:val="00E2351F"/>
    <w:rsid w:val="00E459D3"/>
    <w:rsid w:val="00E569F4"/>
    <w:rsid w:val="00E57BD5"/>
    <w:rsid w:val="00E85F67"/>
    <w:rsid w:val="00EA75CA"/>
    <w:rsid w:val="00EB546A"/>
    <w:rsid w:val="00EC477C"/>
    <w:rsid w:val="00ED1933"/>
    <w:rsid w:val="00F05B82"/>
    <w:rsid w:val="00F122D6"/>
    <w:rsid w:val="00F22CAB"/>
    <w:rsid w:val="00F26769"/>
    <w:rsid w:val="00F52983"/>
    <w:rsid w:val="00F52D0E"/>
    <w:rsid w:val="00F54D4C"/>
    <w:rsid w:val="00F67FE1"/>
    <w:rsid w:val="00F94240"/>
    <w:rsid w:val="00FB2836"/>
    <w:rsid w:val="00FB5E0D"/>
    <w:rsid w:val="00FC1253"/>
    <w:rsid w:val="00FC313C"/>
    <w:rsid w:val="00FC7CFA"/>
    <w:rsid w:val="00FE3F6E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039B"/>
    <w:pPr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2C039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C039B"/>
  </w:style>
  <w:style w:type="paragraph" w:customStyle="1" w:styleId="KTitleCentered">
    <w:name w:val="KTitleCentered"/>
    <w:basedOn w:val="Normal"/>
    <w:next w:val="Normal"/>
    <w:uiPriority w:val="4"/>
    <w:qFormat/>
    <w:rsid w:val="002C039B"/>
    <w:pPr>
      <w:keepNext/>
      <w:autoSpaceDE/>
      <w:autoSpaceDN/>
      <w:adjustRightInd/>
      <w:spacing w:after="240"/>
      <w:jc w:val="center"/>
    </w:pPr>
  </w:style>
  <w:style w:type="paragraph" w:styleId="Header">
    <w:name w:val="header"/>
    <w:basedOn w:val="Normal"/>
    <w:link w:val="HeaderChar"/>
    <w:rsid w:val="00D474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4749C"/>
    <w:rPr>
      <w:sz w:val="24"/>
      <w:szCs w:val="24"/>
    </w:rPr>
  </w:style>
  <w:style w:type="paragraph" w:styleId="Footer">
    <w:name w:val="footer"/>
    <w:basedOn w:val="Normal"/>
    <w:link w:val="FooterChar"/>
    <w:rsid w:val="00D474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4749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7197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633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633F4"/>
    <w:rPr>
      <w:rFonts w:ascii="Tahoma" w:hAnsi="Tahoma" w:cs="Tahoma"/>
      <w:sz w:val="16"/>
      <w:szCs w:val="16"/>
    </w:rPr>
  </w:style>
  <w:style w:type="paragraph" w:customStyle="1" w:styleId="MWbod">
    <w:name w:val="MWbod"/>
    <w:aliases w:val="p3"/>
    <w:basedOn w:val="Normal"/>
    <w:rsid w:val="00B37E78"/>
    <w:pPr>
      <w:suppressAutoHyphens/>
      <w:spacing w:after="240"/>
      <w:ind w:firstLine="72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039B"/>
    <w:pPr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2C039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C039B"/>
  </w:style>
  <w:style w:type="paragraph" w:customStyle="1" w:styleId="KTitleCentered">
    <w:name w:val="KTitleCentered"/>
    <w:basedOn w:val="Normal"/>
    <w:next w:val="Normal"/>
    <w:uiPriority w:val="4"/>
    <w:qFormat/>
    <w:rsid w:val="002C039B"/>
    <w:pPr>
      <w:keepNext/>
      <w:autoSpaceDE/>
      <w:autoSpaceDN/>
      <w:adjustRightInd/>
      <w:spacing w:after="240"/>
      <w:jc w:val="center"/>
    </w:pPr>
  </w:style>
  <w:style w:type="paragraph" w:styleId="Header">
    <w:name w:val="header"/>
    <w:basedOn w:val="Normal"/>
    <w:link w:val="HeaderChar"/>
    <w:rsid w:val="00D474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4749C"/>
    <w:rPr>
      <w:sz w:val="24"/>
      <w:szCs w:val="24"/>
    </w:rPr>
  </w:style>
  <w:style w:type="paragraph" w:styleId="Footer">
    <w:name w:val="footer"/>
    <w:basedOn w:val="Normal"/>
    <w:link w:val="FooterChar"/>
    <w:rsid w:val="00D474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4749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7197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633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633F4"/>
    <w:rPr>
      <w:rFonts w:ascii="Tahoma" w:hAnsi="Tahoma" w:cs="Tahoma"/>
      <w:sz w:val="16"/>
      <w:szCs w:val="16"/>
    </w:rPr>
  </w:style>
  <w:style w:type="paragraph" w:customStyle="1" w:styleId="MWbod">
    <w:name w:val="MWbod"/>
    <w:aliases w:val="p3"/>
    <w:basedOn w:val="Normal"/>
    <w:rsid w:val="00B37E78"/>
    <w:pPr>
      <w:suppressAutoHyphens/>
      <w:spacing w:after="240"/>
      <w:ind w:firstLine="7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SunTrust Banks, Inc.</Company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Rentenbach.Jennifer</dc:creator>
  <cp:lastModifiedBy>Susanna K. Post</cp:lastModifiedBy>
  <cp:revision>3</cp:revision>
  <cp:lastPrinted>2014-05-06T14:33:00Z</cp:lastPrinted>
  <dcterms:created xsi:type="dcterms:W3CDTF">2019-11-22T18:06:00Z</dcterms:created>
  <dcterms:modified xsi:type="dcterms:W3CDTF">2019-11-22T18:08:00Z</dcterms:modified>
</cp:coreProperties>
</file>