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A353F" w14:textId="77777777" w:rsidR="003466BD" w:rsidRDefault="003466BD" w:rsidP="009232E1">
      <w:pPr>
        <w:tabs>
          <w:tab w:val="left" w:pos="1440"/>
        </w:tabs>
        <w:rPr>
          <w:b/>
          <w:sz w:val="22"/>
          <w:szCs w:val="22"/>
        </w:rPr>
      </w:pPr>
      <w:bookmarkStart w:id="0" w:name="_GoBack"/>
      <w:bookmarkEnd w:id="0"/>
    </w:p>
    <w:p w14:paraId="35999924" w14:textId="77777777" w:rsidR="003466BD" w:rsidRDefault="008013C9" w:rsidP="009232E1">
      <w:pPr>
        <w:tabs>
          <w:tab w:val="left" w:pos="1440"/>
        </w:tabs>
        <w:rPr>
          <w:b/>
          <w:sz w:val="22"/>
          <w:szCs w:val="22"/>
        </w:rPr>
      </w:pPr>
      <w:r>
        <w:rPr>
          <w:b/>
          <w:noProof/>
          <w:snapToGrid/>
          <w:sz w:val="22"/>
          <w:szCs w:val="22"/>
        </w:rPr>
        <w:drawing>
          <wp:inline distT="0" distB="0" distL="0" distR="0" wp14:anchorId="10B084CE" wp14:editId="5EE38A95">
            <wp:extent cx="1485900" cy="895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895350"/>
                    </a:xfrm>
                    <a:prstGeom prst="rect">
                      <a:avLst/>
                    </a:prstGeom>
                    <a:noFill/>
                  </pic:spPr>
                </pic:pic>
              </a:graphicData>
            </a:graphic>
          </wp:inline>
        </w:drawing>
      </w:r>
    </w:p>
    <w:p w14:paraId="6094B917" w14:textId="77777777" w:rsidR="003466BD" w:rsidRDefault="003466BD" w:rsidP="009232E1">
      <w:pPr>
        <w:tabs>
          <w:tab w:val="left" w:pos="1440"/>
        </w:tabs>
        <w:rPr>
          <w:b/>
          <w:sz w:val="22"/>
          <w:szCs w:val="22"/>
        </w:rPr>
      </w:pPr>
    </w:p>
    <w:p w14:paraId="448D9E57" w14:textId="77777777" w:rsidR="003466BD" w:rsidRDefault="003466BD" w:rsidP="009232E1">
      <w:pPr>
        <w:tabs>
          <w:tab w:val="left" w:pos="1440"/>
        </w:tabs>
        <w:rPr>
          <w:b/>
          <w:sz w:val="22"/>
          <w:szCs w:val="22"/>
        </w:rPr>
      </w:pPr>
    </w:p>
    <w:p w14:paraId="08005A88" w14:textId="77777777" w:rsidR="009452CA" w:rsidRPr="00246362" w:rsidRDefault="009452CA" w:rsidP="009232E1">
      <w:pPr>
        <w:tabs>
          <w:tab w:val="left" w:pos="1440"/>
        </w:tabs>
        <w:rPr>
          <w:b/>
          <w:sz w:val="22"/>
          <w:szCs w:val="22"/>
        </w:rPr>
      </w:pPr>
      <w:r w:rsidRPr="00246362">
        <w:rPr>
          <w:b/>
          <w:sz w:val="22"/>
          <w:szCs w:val="22"/>
        </w:rPr>
        <w:t>T</w:t>
      </w:r>
      <w:r w:rsidR="009232E1" w:rsidRPr="00246362">
        <w:rPr>
          <w:b/>
          <w:sz w:val="22"/>
          <w:szCs w:val="22"/>
        </w:rPr>
        <w:t>o</w:t>
      </w:r>
      <w:r w:rsidR="007660D9" w:rsidRPr="00246362">
        <w:rPr>
          <w:b/>
          <w:sz w:val="22"/>
          <w:szCs w:val="22"/>
        </w:rPr>
        <w:t>:</w:t>
      </w:r>
      <w:r w:rsidRPr="00246362">
        <w:rPr>
          <w:b/>
          <w:sz w:val="22"/>
          <w:szCs w:val="22"/>
        </w:rPr>
        <w:tab/>
      </w:r>
      <w:bookmarkStart w:id="1" w:name="To"/>
      <w:r w:rsidR="007660D9" w:rsidRPr="00246362">
        <w:rPr>
          <w:b/>
          <w:sz w:val="22"/>
          <w:szCs w:val="22"/>
        </w:rPr>
        <w:t xml:space="preserve">CRE </w:t>
      </w:r>
      <w:proofErr w:type="gramStart"/>
      <w:r w:rsidR="007660D9" w:rsidRPr="00246362">
        <w:rPr>
          <w:b/>
          <w:sz w:val="22"/>
          <w:szCs w:val="22"/>
        </w:rPr>
        <w:t>Outside</w:t>
      </w:r>
      <w:proofErr w:type="gramEnd"/>
      <w:r w:rsidR="007660D9" w:rsidRPr="00246362">
        <w:rPr>
          <w:b/>
          <w:sz w:val="22"/>
          <w:szCs w:val="22"/>
        </w:rPr>
        <w:t xml:space="preserve"> Counsel</w:t>
      </w:r>
      <w:bookmarkEnd w:id="1"/>
    </w:p>
    <w:p w14:paraId="109DCE9A" w14:textId="77777777" w:rsidR="009452CA" w:rsidRPr="00246362" w:rsidRDefault="009452CA" w:rsidP="009452CA">
      <w:pPr>
        <w:tabs>
          <w:tab w:val="left" w:pos="1440"/>
        </w:tabs>
        <w:ind w:left="1613" w:hanging="1613"/>
        <w:rPr>
          <w:b/>
          <w:sz w:val="22"/>
          <w:szCs w:val="22"/>
        </w:rPr>
      </w:pPr>
    </w:p>
    <w:p w14:paraId="110BB075" w14:textId="77777777" w:rsidR="00AF448A"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bookmarkStart w:id="2" w:name="From"/>
      <w:r w:rsidR="007660D9" w:rsidRPr="00246362">
        <w:rPr>
          <w:b/>
          <w:sz w:val="22"/>
          <w:szCs w:val="22"/>
        </w:rPr>
        <w:t xml:space="preserve">Jennifer </w:t>
      </w:r>
      <w:proofErr w:type="spellStart"/>
      <w:r w:rsidR="007660D9" w:rsidRPr="00246362">
        <w:rPr>
          <w:b/>
          <w:sz w:val="22"/>
          <w:szCs w:val="22"/>
        </w:rPr>
        <w:t>Rentenbach</w:t>
      </w:r>
      <w:bookmarkEnd w:id="2"/>
      <w:proofErr w:type="spellEnd"/>
      <w:r w:rsidR="00410468">
        <w:rPr>
          <w:b/>
          <w:sz w:val="22"/>
          <w:szCs w:val="22"/>
        </w:rPr>
        <w:t>, Assistant General Counsel</w:t>
      </w:r>
    </w:p>
    <w:p w14:paraId="087D2910" w14:textId="77777777" w:rsidR="001852F8" w:rsidRPr="00246362" w:rsidRDefault="001852F8">
      <w:pPr>
        <w:tabs>
          <w:tab w:val="left" w:pos="1440"/>
        </w:tabs>
        <w:ind w:left="1613" w:hanging="1613"/>
        <w:rPr>
          <w:b/>
          <w:sz w:val="22"/>
          <w:szCs w:val="22"/>
        </w:rPr>
      </w:pPr>
      <w:r>
        <w:rPr>
          <w:b/>
          <w:sz w:val="22"/>
          <w:szCs w:val="22"/>
        </w:rPr>
        <w:tab/>
        <w:t>Susanna Post, Senior Counsel</w:t>
      </w:r>
    </w:p>
    <w:p w14:paraId="449CF2E6" w14:textId="77777777" w:rsidR="009232E1" w:rsidRPr="00246362" w:rsidRDefault="009232E1" w:rsidP="009452CA">
      <w:pPr>
        <w:tabs>
          <w:tab w:val="left" w:pos="1440"/>
        </w:tabs>
        <w:rPr>
          <w:b/>
          <w:sz w:val="22"/>
          <w:szCs w:val="22"/>
        </w:rPr>
      </w:pPr>
    </w:p>
    <w:p w14:paraId="541F4236" w14:textId="763E4160"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5D40F2">
        <w:rPr>
          <w:b/>
          <w:sz w:val="22"/>
          <w:szCs w:val="22"/>
        </w:rPr>
        <w:t xml:space="preserve">September </w:t>
      </w:r>
      <w:r w:rsidR="00C50187">
        <w:rPr>
          <w:b/>
          <w:sz w:val="22"/>
          <w:szCs w:val="22"/>
        </w:rPr>
        <w:t>26</w:t>
      </w:r>
      <w:r w:rsidR="009D5807">
        <w:rPr>
          <w:b/>
          <w:sz w:val="22"/>
          <w:szCs w:val="22"/>
        </w:rPr>
        <w:t>, 2018</w:t>
      </w:r>
    </w:p>
    <w:p w14:paraId="4E3BF798" w14:textId="77777777" w:rsidR="009232E1" w:rsidRPr="00246362" w:rsidRDefault="009232E1">
      <w:pPr>
        <w:tabs>
          <w:tab w:val="left" w:pos="1440"/>
        </w:tabs>
        <w:ind w:left="1613" w:hanging="1613"/>
        <w:rPr>
          <w:b/>
          <w:sz w:val="22"/>
          <w:szCs w:val="22"/>
        </w:rPr>
      </w:pPr>
    </w:p>
    <w:p w14:paraId="6D966439" w14:textId="5EA84966" w:rsidR="00AF448A" w:rsidRPr="005D40F2" w:rsidRDefault="00AF448A">
      <w:pPr>
        <w:tabs>
          <w:tab w:val="left" w:pos="1440"/>
        </w:tabs>
        <w:ind w:left="1613" w:hanging="1613"/>
        <w:rPr>
          <w:b/>
          <w:i/>
          <w:sz w:val="22"/>
          <w:szCs w:val="22"/>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797ED3">
        <w:rPr>
          <w:b/>
          <w:sz w:val="22"/>
          <w:szCs w:val="22"/>
        </w:rPr>
        <w:t>Updates to CRE form Loan Agreements</w:t>
      </w:r>
      <w:r w:rsidR="001852F8">
        <w:rPr>
          <w:b/>
          <w:sz w:val="22"/>
          <w:szCs w:val="22"/>
        </w:rPr>
        <w:t xml:space="preserve"> – </w:t>
      </w:r>
      <w:r w:rsidR="00C50187">
        <w:rPr>
          <w:b/>
          <w:sz w:val="22"/>
          <w:szCs w:val="22"/>
        </w:rPr>
        <w:t>LIBOR Replacement Rate; HVCRE</w:t>
      </w:r>
    </w:p>
    <w:p w14:paraId="3D8FCF06" w14:textId="77777777" w:rsidR="00246362" w:rsidRPr="00DC3647" w:rsidRDefault="00246362" w:rsidP="00602700">
      <w:pPr>
        <w:pBdr>
          <w:bottom w:val="single" w:sz="6" w:space="1" w:color="auto"/>
        </w:pBdr>
        <w:tabs>
          <w:tab w:val="left" w:pos="1440"/>
        </w:tabs>
        <w:rPr>
          <w:b/>
          <w:sz w:val="22"/>
          <w:szCs w:val="22"/>
          <w:u w:val="single"/>
        </w:rPr>
      </w:pPr>
    </w:p>
    <w:p w14:paraId="5105FDCF" w14:textId="77777777" w:rsidR="00602700" w:rsidRDefault="00797ED3" w:rsidP="00C42835">
      <w:pPr>
        <w:tabs>
          <w:tab w:val="left" w:pos="1440"/>
        </w:tabs>
        <w:jc w:val="both"/>
        <w:rPr>
          <w:sz w:val="22"/>
          <w:szCs w:val="22"/>
        </w:rPr>
      </w:pPr>
      <w:r>
        <w:rPr>
          <w:sz w:val="22"/>
          <w:szCs w:val="22"/>
        </w:rPr>
        <w:tab/>
      </w:r>
    </w:p>
    <w:p w14:paraId="6DE6C5DD" w14:textId="77777777" w:rsidR="00777AE3" w:rsidRPr="00351022" w:rsidRDefault="00797ED3" w:rsidP="00B91A00">
      <w:pPr>
        <w:tabs>
          <w:tab w:val="left" w:pos="720"/>
        </w:tabs>
        <w:jc w:val="both"/>
        <w:rPr>
          <w:sz w:val="22"/>
          <w:szCs w:val="22"/>
        </w:rPr>
      </w:pPr>
      <w:r>
        <w:rPr>
          <w:sz w:val="22"/>
          <w:szCs w:val="22"/>
        </w:rPr>
        <w:tab/>
      </w:r>
      <w:r w:rsidR="00542283" w:rsidRPr="00351022">
        <w:rPr>
          <w:sz w:val="22"/>
          <w:szCs w:val="22"/>
        </w:rPr>
        <w:t>Please note that we are providing this memorandum to only one contact at each of our outside law firms.  Please circulate this memorandum to each of your firm’s attorneys who may work on matters for the SunTrust Commercial Real Estate (“</w:t>
      </w:r>
      <w:r w:rsidR="00542283" w:rsidRPr="000A16E3">
        <w:rPr>
          <w:b/>
          <w:i/>
          <w:sz w:val="22"/>
          <w:szCs w:val="22"/>
        </w:rPr>
        <w:t>CRE</w:t>
      </w:r>
      <w:r w:rsidR="00542283" w:rsidRPr="00351022">
        <w:rPr>
          <w:sz w:val="22"/>
          <w:szCs w:val="22"/>
        </w:rPr>
        <w:t>”) line of business.</w:t>
      </w:r>
    </w:p>
    <w:p w14:paraId="49419D0E" w14:textId="77777777" w:rsidR="00797ED3" w:rsidRPr="00351022" w:rsidRDefault="00797ED3" w:rsidP="00C42835">
      <w:pPr>
        <w:tabs>
          <w:tab w:val="left" w:pos="1440"/>
        </w:tabs>
        <w:ind w:left="1613" w:hanging="1613"/>
        <w:jc w:val="both"/>
        <w:rPr>
          <w:sz w:val="22"/>
          <w:szCs w:val="22"/>
        </w:rPr>
      </w:pPr>
    </w:p>
    <w:p w14:paraId="7B1DC32F" w14:textId="547EE6B3" w:rsidR="004B5D68" w:rsidRDefault="00797ED3" w:rsidP="00C42835">
      <w:pPr>
        <w:tabs>
          <w:tab w:val="left" w:pos="720"/>
          <w:tab w:val="left" w:pos="1710"/>
        </w:tabs>
        <w:jc w:val="both"/>
        <w:rPr>
          <w:sz w:val="22"/>
          <w:szCs w:val="22"/>
        </w:rPr>
      </w:pPr>
      <w:r w:rsidRPr="00351022">
        <w:rPr>
          <w:sz w:val="22"/>
          <w:szCs w:val="22"/>
        </w:rPr>
        <w:tab/>
      </w:r>
      <w:r w:rsidR="00BB4998" w:rsidRPr="00351022">
        <w:rPr>
          <w:sz w:val="22"/>
          <w:szCs w:val="22"/>
        </w:rPr>
        <w:t xml:space="preserve">Attached </w:t>
      </w:r>
      <w:r w:rsidR="00777AE3" w:rsidRPr="00351022">
        <w:rPr>
          <w:sz w:val="22"/>
          <w:szCs w:val="22"/>
        </w:rPr>
        <w:t xml:space="preserve">are </w:t>
      </w:r>
      <w:r w:rsidRPr="00351022">
        <w:rPr>
          <w:sz w:val="22"/>
          <w:szCs w:val="22"/>
        </w:rPr>
        <w:t>updated versions of the CRE form Loan Agreements</w:t>
      </w:r>
      <w:r w:rsidR="00D41248" w:rsidRPr="00351022">
        <w:rPr>
          <w:sz w:val="22"/>
          <w:szCs w:val="22"/>
        </w:rPr>
        <w:t>, which are in process of being uploaded to our CRE Loan Documentation Website.</w:t>
      </w:r>
      <w:r w:rsidR="00E86E63" w:rsidRPr="00351022">
        <w:rPr>
          <w:sz w:val="22"/>
          <w:szCs w:val="22"/>
        </w:rPr>
        <w:t xml:space="preserve">  These versions</w:t>
      </w:r>
      <w:r w:rsidR="0040740F" w:rsidRPr="00351022">
        <w:rPr>
          <w:sz w:val="22"/>
          <w:szCs w:val="22"/>
        </w:rPr>
        <w:t xml:space="preserve"> in</w:t>
      </w:r>
      <w:r w:rsidR="00E86E63" w:rsidRPr="00351022">
        <w:rPr>
          <w:sz w:val="22"/>
          <w:szCs w:val="22"/>
        </w:rPr>
        <w:t>clude the updates detailed belo</w:t>
      </w:r>
      <w:r w:rsidR="0040740F" w:rsidRPr="00351022">
        <w:rPr>
          <w:sz w:val="22"/>
          <w:szCs w:val="22"/>
        </w:rPr>
        <w:t>w.</w:t>
      </w:r>
      <w:r w:rsidR="004B5D68">
        <w:rPr>
          <w:sz w:val="22"/>
          <w:szCs w:val="22"/>
        </w:rPr>
        <w:t xml:space="preserve">  Redline change pages are attached for your reference as well.</w:t>
      </w:r>
    </w:p>
    <w:p w14:paraId="4092BDC9" w14:textId="0FF07A95" w:rsidR="001852F8" w:rsidRPr="00351022" w:rsidRDefault="001852F8" w:rsidP="00C42835">
      <w:pPr>
        <w:tabs>
          <w:tab w:val="left" w:pos="720"/>
          <w:tab w:val="left" w:pos="1710"/>
        </w:tabs>
        <w:jc w:val="both"/>
        <w:rPr>
          <w:sz w:val="22"/>
          <w:szCs w:val="22"/>
        </w:rPr>
      </w:pPr>
    </w:p>
    <w:p w14:paraId="5887A90D" w14:textId="0B289C04" w:rsidR="00D41248" w:rsidRPr="005D40F2" w:rsidRDefault="00913495" w:rsidP="00C42835">
      <w:pPr>
        <w:tabs>
          <w:tab w:val="left" w:pos="720"/>
          <w:tab w:val="left" w:pos="1710"/>
        </w:tabs>
        <w:jc w:val="both"/>
        <w:rPr>
          <w:i/>
          <w:sz w:val="22"/>
          <w:szCs w:val="22"/>
        </w:rPr>
      </w:pPr>
      <w:r w:rsidRPr="00351022">
        <w:rPr>
          <w:sz w:val="22"/>
          <w:szCs w:val="22"/>
        </w:rPr>
        <w:tab/>
      </w:r>
      <w:r w:rsidR="00E86E63" w:rsidRPr="00351022">
        <w:rPr>
          <w:sz w:val="22"/>
          <w:szCs w:val="22"/>
        </w:rPr>
        <w:t xml:space="preserve"> </w:t>
      </w:r>
      <w:r w:rsidR="00E86E63" w:rsidRPr="004B5D68">
        <w:rPr>
          <w:sz w:val="22"/>
          <w:szCs w:val="22"/>
        </w:rPr>
        <w:t>In any deal where for any reason you are not using the most recent version of our form loan agreement, please make sure these updates, as applicable, are included in your documents along with any other subsequent form updates</w:t>
      </w:r>
      <w:r w:rsidR="00E86E63" w:rsidRPr="004F2BCB">
        <w:rPr>
          <w:sz w:val="22"/>
          <w:szCs w:val="22"/>
        </w:rPr>
        <w:t>.</w:t>
      </w:r>
      <w:r w:rsidR="005D40F2">
        <w:rPr>
          <w:sz w:val="22"/>
          <w:szCs w:val="22"/>
        </w:rPr>
        <w:t xml:space="preserve"> </w:t>
      </w:r>
    </w:p>
    <w:p w14:paraId="676D3A2D" w14:textId="77777777" w:rsidR="006F1805" w:rsidRPr="00351022" w:rsidRDefault="006F1805" w:rsidP="00C42835">
      <w:pPr>
        <w:tabs>
          <w:tab w:val="left" w:pos="720"/>
          <w:tab w:val="left" w:pos="1710"/>
        </w:tabs>
        <w:jc w:val="both"/>
        <w:rPr>
          <w:sz w:val="22"/>
          <w:szCs w:val="22"/>
        </w:rPr>
      </w:pPr>
    </w:p>
    <w:p w14:paraId="645DC41C" w14:textId="77777777" w:rsidR="006F1805" w:rsidRDefault="006F1805" w:rsidP="00C42835">
      <w:pPr>
        <w:tabs>
          <w:tab w:val="left" w:pos="720"/>
          <w:tab w:val="left" w:pos="1710"/>
        </w:tabs>
        <w:jc w:val="both"/>
        <w:rPr>
          <w:b/>
          <w:sz w:val="22"/>
          <w:szCs w:val="22"/>
        </w:rPr>
      </w:pPr>
      <w:r w:rsidRPr="00351022">
        <w:rPr>
          <w:sz w:val="22"/>
          <w:szCs w:val="22"/>
        </w:rPr>
        <w:tab/>
      </w:r>
      <w:r w:rsidRPr="00B91A00">
        <w:rPr>
          <w:b/>
          <w:sz w:val="22"/>
          <w:szCs w:val="22"/>
          <w:u w:val="single"/>
        </w:rPr>
        <w:t>Updates</w:t>
      </w:r>
      <w:r w:rsidR="00C70005" w:rsidRPr="00B91A00">
        <w:rPr>
          <w:b/>
          <w:sz w:val="22"/>
          <w:szCs w:val="22"/>
        </w:rPr>
        <w:t>:</w:t>
      </w:r>
    </w:p>
    <w:p w14:paraId="7C39585C" w14:textId="77777777" w:rsidR="00527A0B" w:rsidRDefault="00527A0B" w:rsidP="00C42835">
      <w:pPr>
        <w:tabs>
          <w:tab w:val="left" w:pos="720"/>
          <w:tab w:val="left" w:pos="1710"/>
        </w:tabs>
        <w:jc w:val="both"/>
        <w:rPr>
          <w:b/>
          <w:sz w:val="22"/>
          <w:szCs w:val="22"/>
        </w:rPr>
      </w:pPr>
    </w:p>
    <w:p w14:paraId="7EA066A4" w14:textId="72A5F605" w:rsidR="00C50187" w:rsidRPr="00C50187" w:rsidRDefault="00C50187" w:rsidP="00527A0B">
      <w:pPr>
        <w:pStyle w:val="ListParagraph"/>
        <w:numPr>
          <w:ilvl w:val="0"/>
          <w:numId w:val="13"/>
        </w:numPr>
        <w:tabs>
          <w:tab w:val="left" w:pos="720"/>
          <w:tab w:val="left" w:pos="1710"/>
        </w:tabs>
        <w:jc w:val="both"/>
        <w:rPr>
          <w:b/>
          <w:sz w:val="22"/>
          <w:szCs w:val="22"/>
        </w:rPr>
      </w:pPr>
      <w:r>
        <w:rPr>
          <w:b/>
          <w:sz w:val="22"/>
          <w:szCs w:val="22"/>
        </w:rPr>
        <w:t>LIBOR Replacement Rate Provisions</w:t>
      </w:r>
    </w:p>
    <w:p w14:paraId="63DC08D0" w14:textId="241450A3" w:rsidR="00C50187" w:rsidRDefault="00C50187" w:rsidP="00C50187">
      <w:pPr>
        <w:pStyle w:val="ListParagraph"/>
        <w:tabs>
          <w:tab w:val="left" w:pos="720"/>
          <w:tab w:val="left" w:pos="1710"/>
        </w:tabs>
        <w:jc w:val="both"/>
        <w:rPr>
          <w:sz w:val="22"/>
          <w:szCs w:val="22"/>
        </w:rPr>
      </w:pPr>
    </w:p>
    <w:p w14:paraId="3A664718" w14:textId="65C7F7D3" w:rsidR="00C50187" w:rsidRPr="00C50187" w:rsidRDefault="00C50187" w:rsidP="00C50187">
      <w:pPr>
        <w:pStyle w:val="ListParagraph"/>
        <w:tabs>
          <w:tab w:val="left" w:pos="720"/>
          <w:tab w:val="left" w:pos="1710"/>
        </w:tabs>
        <w:jc w:val="both"/>
        <w:rPr>
          <w:sz w:val="22"/>
          <w:szCs w:val="22"/>
        </w:rPr>
      </w:pPr>
      <w:r>
        <w:rPr>
          <w:sz w:val="22"/>
          <w:szCs w:val="22"/>
        </w:rPr>
        <w:t>We have updated our form loan agreements to include provisions contemplating a move to a replacement rate upon a permanent or indefinite discontinuation of LIBOR.</w:t>
      </w:r>
      <w:r w:rsidR="0087568F">
        <w:rPr>
          <w:sz w:val="22"/>
          <w:szCs w:val="22"/>
        </w:rPr>
        <w:t xml:space="preserve">  The language provides for </w:t>
      </w:r>
      <w:r w:rsidR="002C3FB3">
        <w:rPr>
          <w:sz w:val="22"/>
          <w:szCs w:val="22"/>
        </w:rPr>
        <w:t xml:space="preserve">transition </w:t>
      </w:r>
      <w:r w:rsidR="0087568F">
        <w:rPr>
          <w:sz w:val="22"/>
          <w:szCs w:val="22"/>
        </w:rPr>
        <w:t>to a</w:t>
      </w:r>
      <w:r w:rsidR="00F502E8">
        <w:rPr>
          <w:sz w:val="22"/>
          <w:szCs w:val="22"/>
        </w:rPr>
        <w:t xml:space="preserve"> rate based on a market accepted</w:t>
      </w:r>
      <w:r w:rsidR="0087568F">
        <w:rPr>
          <w:sz w:val="22"/>
          <w:szCs w:val="22"/>
        </w:rPr>
        <w:t xml:space="preserve"> alternative reference rate selected by the Federal Reserve or similar institution (</w:t>
      </w:r>
      <w:r w:rsidR="00637EAD">
        <w:rPr>
          <w:sz w:val="22"/>
          <w:szCs w:val="22"/>
        </w:rPr>
        <w:t xml:space="preserve">or </w:t>
      </w:r>
      <w:r w:rsidR="0087568F">
        <w:rPr>
          <w:sz w:val="22"/>
          <w:szCs w:val="22"/>
        </w:rPr>
        <w:t>a committee or working group thereof)</w:t>
      </w:r>
      <w:r w:rsidR="009B4878">
        <w:rPr>
          <w:sz w:val="22"/>
          <w:szCs w:val="22"/>
        </w:rPr>
        <w:t>, with SunTrust</w:t>
      </w:r>
      <w:r w:rsidR="00F502E8">
        <w:rPr>
          <w:sz w:val="22"/>
          <w:szCs w:val="22"/>
        </w:rPr>
        <w:t xml:space="preserve"> making adjustments to the new reference rate, considering prevailing market conventions, so that the replacement interest rate will be substantially equivalent to LIBOR.  The replacement rate will not become effective until the parties have executed an amendment to the loan agreement reflecting the replacement rate (which means the borrower does have a say in the replacement rate, as it will have to agree to an amendment).</w:t>
      </w:r>
    </w:p>
    <w:p w14:paraId="6C3FD278" w14:textId="77777777" w:rsidR="00C50187" w:rsidRPr="00C50187" w:rsidRDefault="00C50187" w:rsidP="00C50187">
      <w:pPr>
        <w:pStyle w:val="ListParagraph"/>
        <w:tabs>
          <w:tab w:val="left" w:pos="720"/>
          <w:tab w:val="left" w:pos="1710"/>
        </w:tabs>
        <w:jc w:val="both"/>
        <w:rPr>
          <w:b/>
          <w:sz w:val="22"/>
          <w:szCs w:val="22"/>
        </w:rPr>
      </w:pPr>
    </w:p>
    <w:p w14:paraId="034CD2D5" w14:textId="61067F4B" w:rsidR="00C50187" w:rsidRDefault="00637EAD" w:rsidP="00C50187">
      <w:pPr>
        <w:pStyle w:val="ListParagraph"/>
        <w:tabs>
          <w:tab w:val="left" w:pos="720"/>
          <w:tab w:val="left" w:pos="1710"/>
        </w:tabs>
        <w:jc w:val="both"/>
        <w:rPr>
          <w:sz w:val="22"/>
          <w:szCs w:val="22"/>
        </w:rPr>
      </w:pPr>
      <w:r>
        <w:rPr>
          <w:sz w:val="22"/>
          <w:szCs w:val="22"/>
        </w:rPr>
        <w:t xml:space="preserve">The new language is detailed in full on </w:t>
      </w:r>
      <w:r>
        <w:rPr>
          <w:b/>
          <w:sz w:val="22"/>
          <w:szCs w:val="22"/>
          <w:u w:val="single"/>
        </w:rPr>
        <w:t>Exhibit A</w:t>
      </w:r>
      <w:r>
        <w:rPr>
          <w:sz w:val="22"/>
          <w:szCs w:val="22"/>
        </w:rPr>
        <w:t xml:space="preserve"> to this memo, in both bilateral and syndicated forms.  The only substantive difference in the syndicated version is the inclusion of the Required Lender negative consent right that has been widely adopted in the syndicated markets.</w:t>
      </w:r>
    </w:p>
    <w:p w14:paraId="514E512A" w14:textId="33C89D23" w:rsidR="00B42918" w:rsidRDefault="00B42918" w:rsidP="00C50187">
      <w:pPr>
        <w:pStyle w:val="ListParagraph"/>
        <w:tabs>
          <w:tab w:val="left" w:pos="720"/>
          <w:tab w:val="left" w:pos="1710"/>
        </w:tabs>
        <w:jc w:val="both"/>
        <w:rPr>
          <w:sz w:val="22"/>
          <w:szCs w:val="22"/>
        </w:rPr>
      </w:pPr>
    </w:p>
    <w:p w14:paraId="324119C3" w14:textId="301CFB55" w:rsidR="00B42918" w:rsidRPr="00637EAD" w:rsidRDefault="00B42918" w:rsidP="00C50187">
      <w:pPr>
        <w:pStyle w:val="ListParagraph"/>
        <w:tabs>
          <w:tab w:val="left" w:pos="720"/>
          <w:tab w:val="left" w:pos="1710"/>
        </w:tabs>
        <w:jc w:val="both"/>
        <w:rPr>
          <w:sz w:val="22"/>
          <w:szCs w:val="22"/>
        </w:rPr>
      </w:pPr>
      <w:r>
        <w:rPr>
          <w:sz w:val="22"/>
          <w:szCs w:val="22"/>
        </w:rPr>
        <w:t>The bank has a strong desire to maintain consistency of this language across deals, so we will be reluctant to further negotiate this language.  If you have issues with this language on a given deal, please reach out to either of us directly to discuss.</w:t>
      </w:r>
    </w:p>
    <w:p w14:paraId="667030A1" w14:textId="77777777" w:rsidR="0087568F" w:rsidRPr="0087568F" w:rsidRDefault="0087568F" w:rsidP="0087568F">
      <w:pPr>
        <w:pStyle w:val="ListParagraph"/>
        <w:tabs>
          <w:tab w:val="left" w:pos="720"/>
          <w:tab w:val="left" w:pos="1710"/>
        </w:tabs>
        <w:jc w:val="both"/>
        <w:rPr>
          <w:b/>
          <w:sz w:val="22"/>
          <w:szCs w:val="22"/>
        </w:rPr>
      </w:pPr>
    </w:p>
    <w:p w14:paraId="52098194" w14:textId="07B3ED04" w:rsidR="00B42918" w:rsidRDefault="00212C7C" w:rsidP="0087568F">
      <w:pPr>
        <w:pStyle w:val="ListParagraph"/>
        <w:tabs>
          <w:tab w:val="left" w:pos="720"/>
          <w:tab w:val="left" w:pos="1710"/>
        </w:tabs>
        <w:jc w:val="both"/>
        <w:rPr>
          <w:sz w:val="22"/>
          <w:szCs w:val="22"/>
        </w:rPr>
      </w:pPr>
      <w:r>
        <w:rPr>
          <w:sz w:val="22"/>
          <w:szCs w:val="22"/>
        </w:rPr>
        <w:t>For deals that may currently be in process, you may either incorpo</w:t>
      </w:r>
      <w:r w:rsidR="009B4878">
        <w:rPr>
          <w:sz w:val="22"/>
          <w:szCs w:val="22"/>
        </w:rPr>
        <w:t>rate this language or continue to use</w:t>
      </w:r>
      <w:r>
        <w:rPr>
          <w:sz w:val="22"/>
          <w:szCs w:val="22"/>
        </w:rPr>
        <w:t xml:space="preserve"> existing form language and alternative options for changes to the Base Rate definition that have been previously approved.</w:t>
      </w:r>
    </w:p>
    <w:p w14:paraId="4F58CB14" w14:textId="77777777" w:rsidR="00DC05B0" w:rsidRPr="00212C7C" w:rsidRDefault="00DC05B0" w:rsidP="0087568F">
      <w:pPr>
        <w:pStyle w:val="ListParagraph"/>
        <w:tabs>
          <w:tab w:val="left" w:pos="720"/>
          <w:tab w:val="left" w:pos="1710"/>
        </w:tabs>
        <w:jc w:val="both"/>
        <w:rPr>
          <w:sz w:val="22"/>
          <w:szCs w:val="22"/>
        </w:rPr>
      </w:pPr>
    </w:p>
    <w:p w14:paraId="09B7A984" w14:textId="6D712642" w:rsidR="00355EEB" w:rsidRDefault="001B12D4" w:rsidP="00355EEB">
      <w:pPr>
        <w:pStyle w:val="ListParagraph"/>
        <w:tabs>
          <w:tab w:val="left" w:pos="720"/>
          <w:tab w:val="left" w:pos="1710"/>
        </w:tabs>
        <w:jc w:val="both"/>
        <w:rPr>
          <w:sz w:val="22"/>
          <w:szCs w:val="22"/>
        </w:rPr>
      </w:pPr>
      <w:r>
        <w:rPr>
          <w:sz w:val="22"/>
          <w:szCs w:val="22"/>
        </w:rPr>
        <w:lastRenderedPageBreak/>
        <w:t>Note also that this LIBOR replacement rate language is intended for use only in: (</w:t>
      </w:r>
      <w:proofErr w:type="spellStart"/>
      <w:r>
        <w:rPr>
          <w:sz w:val="22"/>
          <w:szCs w:val="22"/>
        </w:rPr>
        <w:t>i</w:t>
      </w:r>
      <w:proofErr w:type="spellEnd"/>
      <w:r>
        <w:rPr>
          <w:sz w:val="22"/>
          <w:szCs w:val="22"/>
        </w:rPr>
        <w:t xml:space="preserve">) deals originated by our Commercial Real Estate line of business, and (ii) deals originated by our Commercial and Private Wealth Management lines of business where the Commercial Real Estate form loan agreement is being used.  Otherwise, at this point in time, other SunTrust lines of business are not utilizing this LIBOR replacement language.  </w:t>
      </w:r>
    </w:p>
    <w:p w14:paraId="28D5B148" w14:textId="4D2465F0" w:rsidR="009E0F20" w:rsidRDefault="009E0F20" w:rsidP="009E0F20">
      <w:pPr>
        <w:tabs>
          <w:tab w:val="left" w:pos="720"/>
          <w:tab w:val="left" w:pos="1710"/>
        </w:tabs>
        <w:jc w:val="both"/>
        <w:rPr>
          <w:b/>
          <w:sz w:val="22"/>
          <w:szCs w:val="22"/>
        </w:rPr>
      </w:pPr>
    </w:p>
    <w:p w14:paraId="086792BD" w14:textId="1D7C773A" w:rsidR="009E0F20" w:rsidRDefault="009E0F20" w:rsidP="009E0F20">
      <w:pPr>
        <w:pStyle w:val="ListParagraph"/>
        <w:numPr>
          <w:ilvl w:val="0"/>
          <w:numId w:val="13"/>
        </w:numPr>
        <w:tabs>
          <w:tab w:val="left" w:pos="720"/>
          <w:tab w:val="left" w:pos="1710"/>
        </w:tabs>
        <w:jc w:val="both"/>
        <w:rPr>
          <w:b/>
          <w:sz w:val="22"/>
          <w:szCs w:val="22"/>
        </w:rPr>
      </w:pPr>
      <w:r>
        <w:rPr>
          <w:b/>
          <w:sz w:val="22"/>
          <w:szCs w:val="22"/>
        </w:rPr>
        <w:t>HVCRE</w:t>
      </w:r>
    </w:p>
    <w:p w14:paraId="4AF6B44D" w14:textId="1CCEA612" w:rsidR="009E0F20" w:rsidRDefault="009E0F20" w:rsidP="009E0F20">
      <w:pPr>
        <w:pStyle w:val="ListParagraph"/>
        <w:tabs>
          <w:tab w:val="left" w:pos="720"/>
          <w:tab w:val="left" w:pos="1710"/>
        </w:tabs>
        <w:jc w:val="both"/>
        <w:rPr>
          <w:b/>
          <w:sz w:val="22"/>
          <w:szCs w:val="22"/>
        </w:rPr>
      </w:pPr>
    </w:p>
    <w:p w14:paraId="6C4954E3" w14:textId="51A06DB8" w:rsidR="008919E3" w:rsidRPr="008919E3" w:rsidRDefault="009E0F20" w:rsidP="008919E3">
      <w:pPr>
        <w:pStyle w:val="ListParagraph"/>
        <w:tabs>
          <w:tab w:val="left" w:pos="720"/>
          <w:tab w:val="left" w:pos="1710"/>
        </w:tabs>
        <w:jc w:val="both"/>
        <w:rPr>
          <w:sz w:val="22"/>
          <w:szCs w:val="22"/>
        </w:rPr>
      </w:pPr>
      <w:r>
        <w:rPr>
          <w:sz w:val="22"/>
          <w:szCs w:val="22"/>
        </w:rPr>
        <w:t xml:space="preserve">We have also updated our HVCRE exemption provisions from those circulated in June of this year (see our June 25, 2018 memo for reference on this topic).  The revised provisions now require that the borrower maintain only the minimum 15% equity contribution in the project </w:t>
      </w:r>
      <w:r w:rsidRPr="00351022">
        <w:rPr>
          <w:sz w:val="22"/>
          <w:szCs w:val="22"/>
        </w:rPr>
        <w:t xml:space="preserve">until the loan </w:t>
      </w:r>
      <w:r w:rsidR="000D7926">
        <w:rPr>
          <w:sz w:val="22"/>
          <w:szCs w:val="22"/>
        </w:rPr>
        <w:t>can be</w:t>
      </w:r>
      <w:r w:rsidRPr="00351022">
        <w:rPr>
          <w:sz w:val="22"/>
          <w:szCs w:val="22"/>
        </w:rPr>
        <w:t xml:space="preserve"> reclassified by the bank as a non-HVCR</w:t>
      </w:r>
      <w:r>
        <w:rPr>
          <w:sz w:val="22"/>
          <w:szCs w:val="22"/>
        </w:rPr>
        <w:t>E ADC loan (our June provisions</w:t>
      </w:r>
      <w:r w:rsidR="008919E3">
        <w:rPr>
          <w:sz w:val="22"/>
          <w:szCs w:val="22"/>
        </w:rPr>
        <w:t xml:space="preserve"> had required that the entirety of the borrower’s initially contributed capital remain in the project).  The updated HVCRE exemption provisions are</w:t>
      </w:r>
      <w:r w:rsidR="008919E3" w:rsidRPr="008919E3">
        <w:rPr>
          <w:sz w:val="22"/>
          <w:szCs w:val="22"/>
        </w:rPr>
        <w:t xml:space="preserve"> detailed on </w:t>
      </w:r>
      <w:r w:rsidR="008919E3" w:rsidRPr="008919E3">
        <w:rPr>
          <w:b/>
          <w:sz w:val="22"/>
          <w:szCs w:val="22"/>
          <w:u w:val="single"/>
        </w:rPr>
        <w:t xml:space="preserve">Exhibit </w:t>
      </w:r>
      <w:r w:rsidR="008919E3">
        <w:rPr>
          <w:b/>
          <w:sz w:val="22"/>
          <w:szCs w:val="22"/>
          <w:u w:val="single"/>
        </w:rPr>
        <w:t>B</w:t>
      </w:r>
      <w:r w:rsidR="008919E3">
        <w:rPr>
          <w:sz w:val="22"/>
          <w:szCs w:val="22"/>
        </w:rPr>
        <w:t xml:space="preserve"> to this memo.</w:t>
      </w:r>
    </w:p>
    <w:p w14:paraId="72E17EF5" w14:textId="41DA55D7" w:rsidR="00441574" w:rsidRDefault="00441574" w:rsidP="00441574">
      <w:pPr>
        <w:pStyle w:val="ListParagraph"/>
        <w:rPr>
          <w:i/>
          <w:sz w:val="22"/>
          <w:szCs w:val="22"/>
        </w:rPr>
      </w:pPr>
    </w:p>
    <w:p w14:paraId="701BE7ED" w14:textId="5661158E" w:rsidR="008919E3" w:rsidRPr="008919E3" w:rsidRDefault="008919E3" w:rsidP="008919E3">
      <w:pPr>
        <w:pStyle w:val="ListParagraph"/>
        <w:tabs>
          <w:tab w:val="left" w:pos="720"/>
          <w:tab w:val="left" w:pos="1710"/>
        </w:tabs>
        <w:jc w:val="both"/>
        <w:rPr>
          <w:sz w:val="22"/>
          <w:szCs w:val="22"/>
        </w:rPr>
      </w:pPr>
      <w:r>
        <w:rPr>
          <w:sz w:val="22"/>
          <w:szCs w:val="22"/>
        </w:rPr>
        <w:t>For applicable deals that may currently be in process, you may either use the June 2018 HVCRE exemption provisions, or these updated provisions.</w:t>
      </w:r>
    </w:p>
    <w:p w14:paraId="6431B830" w14:textId="77777777" w:rsidR="00C70005" w:rsidRDefault="00C70005" w:rsidP="00C42835">
      <w:pPr>
        <w:tabs>
          <w:tab w:val="left" w:pos="720"/>
          <w:tab w:val="left" w:pos="1710"/>
        </w:tabs>
        <w:jc w:val="both"/>
        <w:rPr>
          <w:sz w:val="22"/>
          <w:szCs w:val="22"/>
          <w:u w:val="single"/>
        </w:rPr>
      </w:pPr>
    </w:p>
    <w:p w14:paraId="4AC69866" w14:textId="77777777" w:rsidR="0071009E" w:rsidRPr="00CF7B44" w:rsidRDefault="00CF7B44" w:rsidP="00CF7B44">
      <w:pPr>
        <w:pStyle w:val="BodyText"/>
        <w:tabs>
          <w:tab w:val="clear" w:pos="1440"/>
          <w:tab w:val="left" w:pos="0"/>
        </w:tabs>
        <w:spacing w:after="220"/>
        <w:rPr>
          <w:b w:val="0"/>
          <w:color w:val="000000"/>
          <w:sz w:val="22"/>
          <w:szCs w:val="22"/>
        </w:rPr>
      </w:pPr>
      <w:r>
        <w:rPr>
          <w:rFonts w:eastAsia="Batang"/>
          <w:color w:val="000000" w:themeColor="text1"/>
          <w:w w:val="0"/>
          <w:sz w:val="22"/>
          <w:szCs w:val="22"/>
        </w:rPr>
        <w:tab/>
      </w:r>
      <w:r w:rsidR="0071009E" w:rsidRPr="00CF7B44">
        <w:rPr>
          <w:b w:val="0"/>
          <w:color w:val="000000"/>
          <w:sz w:val="22"/>
          <w:szCs w:val="22"/>
        </w:rPr>
        <w:t xml:space="preserve">Please </w:t>
      </w:r>
      <w:r w:rsidR="004D7FA3" w:rsidRPr="00CF7B44">
        <w:rPr>
          <w:b w:val="0"/>
          <w:color w:val="000000"/>
          <w:sz w:val="22"/>
          <w:szCs w:val="22"/>
        </w:rPr>
        <w:t>let us</w:t>
      </w:r>
      <w:r w:rsidR="0071009E" w:rsidRPr="00CF7B44">
        <w:rPr>
          <w:b w:val="0"/>
          <w:color w:val="000000"/>
          <w:sz w:val="22"/>
          <w:szCs w:val="22"/>
        </w:rPr>
        <w:t xml:space="preserve"> know if you have questions about these matters.  Thank you for your continued partnership.</w:t>
      </w:r>
    </w:p>
    <w:p w14:paraId="3FD15786" w14:textId="77777777" w:rsidR="0071009E" w:rsidRPr="00351022" w:rsidRDefault="0071009E" w:rsidP="00C42835">
      <w:pPr>
        <w:pStyle w:val="BodyText"/>
        <w:tabs>
          <w:tab w:val="clear" w:pos="720"/>
          <w:tab w:val="left" w:pos="0"/>
        </w:tabs>
        <w:spacing w:after="220"/>
        <w:rPr>
          <w:b w:val="0"/>
          <w:sz w:val="22"/>
          <w:szCs w:val="22"/>
        </w:rPr>
      </w:pPr>
    </w:p>
    <w:p w14:paraId="5D177AAE" w14:textId="77777777" w:rsidR="00AA64AF" w:rsidRPr="00351022" w:rsidRDefault="00AA64AF" w:rsidP="00C42835">
      <w:pPr>
        <w:pStyle w:val="BodyText"/>
        <w:spacing w:after="220"/>
        <w:rPr>
          <w:rFonts w:ascii="Verdana" w:hAnsi="Verdana"/>
          <w:sz w:val="22"/>
          <w:szCs w:val="22"/>
          <w:u w:val="single"/>
        </w:rPr>
      </w:pPr>
    </w:p>
    <w:p w14:paraId="68CA5E98" w14:textId="77777777" w:rsidR="00FD2DAA" w:rsidRDefault="00FD2DAA" w:rsidP="00C42835">
      <w:pPr>
        <w:widowControl/>
        <w:jc w:val="both"/>
        <w:rPr>
          <w:rFonts w:ascii="Verdana" w:hAnsi="Verdana"/>
          <w:b/>
          <w:sz w:val="22"/>
          <w:szCs w:val="22"/>
          <w:u w:val="single"/>
        </w:rPr>
      </w:pPr>
      <w:r>
        <w:rPr>
          <w:rFonts w:ascii="Verdana" w:hAnsi="Verdana"/>
          <w:sz w:val="22"/>
          <w:szCs w:val="22"/>
          <w:u w:val="single"/>
        </w:rPr>
        <w:br w:type="page"/>
      </w:r>
    </w:p>
    <w:p w14:paraId="369BD0F3" w14:textId="6A8B7BC3" w:rsidR="00351022" w:rsidRDefault="00FD2DAA" w:rsidP="00B91A00">
      <w:pPr>
        <w:pStyle w:val="BodyText"/>
        <w:spacing w:after="220"/>
        <w:jc w:val="center"/>
        <w:rPr>
          <w:sz w:val="22"/>
          <w:szCs w:val="22"/>
          <w:u w:val="single"/>
        </w:rPr>
      </w:pPr>
      <w:r w:rsidRPr="003A5B18">
        <w:rPr>
          <w:sz w:val="22"/>
          <w:szCs w:val="22"/>
          <w:u w:val="single"/>
        </w:rPr>
        <w:lastRenderedPageBreak/>
        <w:t>Exhibit A</w:t>
      </w:r>
    </w:p>
    <w:p w14:paraId="0417DFBB" w14:textId="17C403EF" w:rsidR="00252B4A" w:rsidRDefault="00252B4A" w:rsidP="00B91A00">
      <w:pPr>
        <w:pStyle w:val="BodyText"/>
        <w:spacing w:after="220"/>
        <w:jc w:val="center"/>
        <w:rPr>
          <w:sz w:val="22"/>
          <w:szCs w:val="22"/>
        </w:rPr>
      </w:pPr>
      <w:r>
        <w:rPr>
          <w:sz w:val="22"/>
          <w:szCs w:val="22"/>
        </w:rPr>
        <w:t>LIBOR Replacement Provisions for Bilateral CRE Loan Agreements</w:t>
      </w:r>
    </w:p>
    <w:p w14:paraId="15C120FE" w14:textId="77777777" w:rsidR="00252B4A" w:rsidRDefault="00252B4A" w:rsidP="00252B4A">
      <w:pPr>
        <w:pStyle w:val="Heading2"/>
        <w:numPr>
          <w:ilvl w:val="0"/>
          <w:numId w:val="0"/>
        </w:numPr>
        <w:ind w:left="720"/>
        <w:rPr>
          <w:rFonts w:ascii="Times New Roman" w:hAnsi="Times New Roman" w:cs="Times New Roman"/>
          <w:i/>
          <w:color w:val="C00000"/>
          <w:kern w:val="0"/>
          <w:sz w:val="22"/>
          <w:szCs w:val="22"/>
          <w:u w:val="none"/>
        </w:rPr>
      </w:pPr>
      <w:bookmarkStart w:id="3" w:name="_Toc517884313"/>
    </w:p>
    <w:p w14:paraId="6D4384A6" w14:textId="3FC57909" w:rsidR="00252B4A" w:rsidRPr="00F242FF" w:rsidRDefault="00252B4A" w:rsidP="00252B4A">
      <w:pPr>
        <w:pStyle w:val="Heading2"/>
        <w:numPr>
          <w:ilvl w:val="0"/>
          <w:numId w:val="0"/>
        </w:numPr>
        <w:ind w:left="720"/>
        <w:rPr>
          <w:rFonts w:ascii="Times New Roman" w:hAnsi="Times New Roman" w:cs="Times New Roman"/>
          <w:i/>
          <w:color w:val="C00000"/>
          <w:kern w:val="0"/>
          <w:sz w:val="22"/>
          <w:szCs w:val="22"/>
          <w:u w:val="none"/>
        </w:rPr>
      </w:pPr>
      <w:r w:rsidRPr="00F11172">
        <w:rPr>
          <w:rFonts w:ascii="Times New Roman" w:hAnsi="Times New Roman" w:cs="Times New Roman"/>
          <w:i/>
          <w:color w:val="C00000"/>
          <w:kern w:val="0"/>
          <w:sz w:val="22"/>
          <w:szCs w:val="22"/>
          <w:u w:val="none"/>
        </w:rPr>
        <w:t>Revised Section 2.7</w:t>
      </w:r>
      <w:r w:rsidRPr="00F242FF">
        <w:rPr>
          <w:rFonts w:ascii="Times New Roman" w:hAnsi="Times New Roman" w:cs="Times New Roman"/>
          <w:i/>
          <w:color w:val="C00000"/>
          <w:kern w:val="0"/>
          <w:sz w:val="22"/>
          <w:szCs w:val="22"/>
          <w:u w:val="none"/>
        </w:rPr>
        <w:t>:</w:t>
      </w:r>
    </w:p>
    <w:p w14:paraId="5244C6DF" w14:textId="77777777" w:rsidR="00252B4A" w:rsidRPr="006837FB" w:rsidRDefault="00252B4A" w:rsidP="00252B4A">
      <w:pPr>
        <w:pStyle w:val="Heading2"/>
        <w:numPr>
          <w:ilvl w:val="0"/>
          <w:numId w:val="0"/>
        </w:numPr>
        <w:ind w:left="2340" w:hanging="1620"/>
        <w:rPr>
          <w:rFonts w:ascii="Times New Roman" w:hAnsi="Times New Roman" w:cs="Times New Roman"/>
          <w:kern w:val="0"/>
          <w:sz w:val="22"/>
          <w:szCs w:val="22"/>
          <w:u w:val="none"/>
        </w:rPr>
      </w:pPr>
      <w:proofErr w:type="gramStart"/>
      <w:r w:rsidRPr="006837FB">
        <w:rPr>
          <w:rFonts w:ascii="Times New Roman" w:hAnsi="Times New Roman" w:cs="Times New Roman"/>
          <w:kern w:val="0"/>
          <w:sz w:val="22"/>
          <w:szCs w:val="22"/>
          <w:u w:val="none"/>
        </w:rPr>
        <w:t xml:space="preserve">Section 2.7   </w:t>
      </w:r>
      <w:r w:rsidRPr="006837FB">
        <w:rPr>
          <w:rFonts w:ascii="Times New Roman" w:hAnsi="Times New Roman" w:cs="Times New Roman"/>
          <w:kern w:val="0"/>
          <w:sz w:val="22"/>
          <w:szCs w:val="22"/>
        </w:rPr>
        <w:t>Inability to Determine Interest Rates</w:t>
      </w:r>
      <w:bookmarkEnd w:id="3"/>
      <w:r w:rsidRPr="006837FB">
        <w:rPr>
          <w:rFonts w:ascii="Times New Roman" w:hAnsi="Times New Roman" w:cs="Times New Roman"/>
          <w:kern w:val="0"/>
          <w:sz w:val="22"/>
          <w:szCs w:val="22"/>
        </w:rPr>
        <w:t>.</w:t>
      </w:r>
      <w:proofErr w:type="gramEnd"/>
    </w:p>
    <w:p w14:paraId="338E2883" w14:textId="77777777" w:rsidR="00252B4A" w:rsidRDefault="00252B4A" w:rsidP="00252B4A">
      <w:pPr>
        <w:pStyle w:val="Para2"/>
        <w:rPr>
          <w:b/>
          <w:sz w:val="22"/>
          <w:szCs w:val="22"/>
        </w:rPr>
      </w:pPr>
      <w:r w:rsidRPr="006837FB">
        <w:rPr>
          <w:sz w:val="22"/>
          <w:szCs w:val="22"/>
        </w:rPr>
        <w:t>(a) If at any time, Lender shall have determined (which determination shall be conclusive and binding upon Borrower</w:t>
      </w:r>
      <w:r w:rsidRPr="006837FB">
        <w:rPr>
          <w:b/>
          <w:sz w:val="22"/>
          <w:szCs w:val="22"/>
        </w:rPr>
        <w:t>)</w:t>
      </w:r>
      <w:r w:rsidRPr="006837FB">
        <w:rPr>
          <w:sz w:val="22"/>
          <w:szCs w:val="22"/>
        </w:rPr>
        <w:t xml:space="preserve"> that (</w:t>
      </w:r>
      <w:proofErr w:type="spellStart"/>
      <w:r w:rsidRPr="006837FB">
        <w:rPr>
          <w:sz w:val="22"/>
          <w:szCs w:val="22"/>
        </w:rPr>
        <w:t>i</w:t>
      </w:r>
      <w:proofErr w:type="spellEnd"/>
      <w:r w:rsidRPr="006837FB">
        <w:rPr>
          <w:sz w:val="22"/>
          <w:szCs w:val="22"/>
        </w:rPr>
        <w:t xml:space="preserve">) by reason of circumstances affecting the relevant interbank market, adequate means do not exist for ascertaining the </w:t>
      </w:r>
      <w:r>
        <w:rPr>
          <w:rFonts w:eastAsia="Batang"/>
          <w:b/>
          <w:color w:val="000000"/>
          <w:w w:val="0"/>
          <w:sz w:val="22"/>
          <w:szCs w:val="22"/>
        </w:rPr>
        <w:t>[Adjusted LIBOR Rate]</w:t>
      </w:r>
      <w:r>
        <w:rPr>
          <w:rFonts w:eastAsia="Batang"/>
          <w:color w:val="000000"/>
          <w:w w:val="0"/>
          <w:sz w:val="22"/>
          <w:szCs w:val="22"/>
        </w:rPr>
        <w:t xml:space="preserve"> </w:t>
      </w:r>
      <w:r>
        <w:rPr>
          <w:rFonts w:eastAsia="Batang"/>
          <w:b/>
          <w:color w:val="000000"/>
          <w:w w:val="0"/>
          <w:sz w:val="22"/>
          <w:szCs w:val="22"/>
        </w:rPr>
        <w:t>[</w:t>
      </w:r>
      <w:r>
        <w:rPr>
          <w:b/>
          <w:sz w:val="22"/>
          <w:szCs w:val="22"/>
        </w:rPr>
        <w:t>LIBOR Index Rate]</w:t>
      </w:r>
      <w:r>
        <w:rPr>
          <w:sz w:val="22"/>
          <w:szCs w:val="22"/>
        </w:rPr>
        <w:t xml:space="preserve"> </w:t>
      </w:r>
      <w:r>
        <w:rPr>
          <w:rFonts w:eastAsia="Batang"/>
          <w:color w:val="000000"/>
          <w:sz w:val="22"/>
          <w:szCs w:val="22"/>
        </w:rPr>
        <w:t xml:space="preserve"> (including, without limitation, because the Screen Rate is not available or published on a current basis) </w:t>
      </w:r>
      <w:r w:rsidRPr="00A7494D">
        <w:rPr>
          <w:rFonts w:eastAsia="Batang"/>
          <w:color w:val="000000"/>
          <w:sz w:val="22"/>
          <w:szCs w:val="22"/>
        </w:rPr>
        <w:t>and such circumsta</w:t>
      </w:r>
      <w:r>
        <w:rPr>
          <w:rFonts w:eastAsia="Batang"/>
          <w:color w:val="000000"/>
          <w:sz w:val="22"/>
          <w:szCs w:val="22"/>
        </w:rPr>
        <w:t>nces are likely to be temporary</w:t>
      </w:r>
      <w:r w:rsidRPr="006837FB">
        <w:rPr>
          <w:sz w:val="22"/>
          <w:szCs w:val="22"/>
        </w:rPr>
        <w:t xml:space="preserve">, or (ii) the </w:t>
      </w:r>
      <w:r>
        <w:rPr>
          <w:rFonts w:eastAsia="Batang"/>
          <w:b/>
          <w:color w:val="000000"/>
          <w:w w:val="0"/>
          <w:sz w:val="22"/>
          <w:szCs w:val="22"/>
        </w:rPr>
        <w:t>[Adjusted LIBOR Rate]</w:t>
      </w:r>
      <w:r>
        <w:rPr>
          <w:rFonts w:eastAsia="Batang"/>
          <w:color w:val="000000"/>
          <w:w w:val="0"/>
          <w:sz w:val="22"/>
          <w:szCs w:val="22"/>
        </w:rPr>
        <w:t xml:space="preserve"> </w:t>
      </w:r>
      <w:r>
        <w:rPr>
          <w:rFonts w:eastAsia="Batang"/>
          <w:b/>
          <w:color w:val="000000"/>
          <w:w w:val="0"/>
          <w:sz w:val="22"/>
          <w:szCs w:val="22"/>
        </w:rPr>
        <w:t>[</w:t>
      </w:r>
      <w:r>
        <w:rPr>
          <w:b/>
          <w:sz w:val="22"/>
          <w:szCs w:val="22"/>
        </w:rPr>
        <w:t>LIBOR Index Rate]</w:t>
      </w:r>
      <w:r>
        <w:rPr>
          <w:sz w:val="22"/>
          <w:szCs w:val="22"/>
        </w:rPr>
        <w:t xml:space="preserve"> </w:t>
      </w:r>
      <w:r w:rsidRPr="006837FB">
        <w:rPr>
          <w:rFonts w:eastAsia="Batang"/>
          <w:color w:val="000000"/>
          <w:sz w:val="22"/>
          <w:szCs w:val="22"/>
        </w:rPr>
        <w:t xml:space="preserve"> </w:t>
      </w:r>
      <w:r w:rsidRPr="006837FB">
        <w:rPr>
          <w:sz w:val="22"/>
          <w:szCs w:val="22"/>
        </w:rPr>
        <w:t xml:space="preserve">does not adequately and fairly reflect the cost to Lender of making, funding or maintaining the  Loan, </w:t>
      </w:r>
      <w:r>
        <w:rPr>
          <w:sz w:val="22"/>
          <w:szCs w:val="22"/>
        </w:rPr>
        <w:t xml:space="preserve">then </w:t>
      </w:r>
      <w:r w:rsidRPr="006837FB">
        <w:rPr>
          <w:sz w:val="22"/>
          <w:szCs w:val="22"/>
        </w:rPr>
        <w:t xml:space="preserve">Lender shall give written notice </w:t>
      </w:r>
      <w:r>
        <w:rPr>
          <w:sz w:val="22"/>
          <w:szCs w:val="22"/>
        </w:rPr>
        <w:t xml:space="preserve">thereof </w:t>
      </w:r>
      <w:r w:rsidRPr="006837FB">
        <w:rPr>
          <w:sz w:val="22"/>
          <w:szCs w:val="22"/>
        </w:rPr>
        <w:t>(or telephonic notice, promptly confirmed in writing) to Borrower as soon as practicable thereafter. Until Lender notifies Borrower that the circumstances giving rise to such notice no longer exist, the Loan shall be converted to a Loan bearing interest at the Base Rate</w:t>
      </w:r>
      <w:r w:rsidRPr="006837FB">
        <w:rPr>
          <w:b/>
          <w:sz w:val="22"/>
          <w:szCs w:val="22"/>
        </w:rPr>
        <w:t xml:space="preserve">. </w:t>
      </w:r>
    </w:p>
    <w:p w14:paraId="6FB4F8B6" w14:textId="789903A3" w:rsidR="00252B4A" w:rsidRPr="00F242FF" w:rsidRDefault="00252B4A" w:rsidP="00252B4A">
      <w:pPr>
        <w:pStyle w:val="Para2"/>
        <w:rPr>
          <w:b/>
          <w:sz w:val="22"/>
          <w:szCs w:val="22"/>
        </w:rPr>
      </w:pPr>
      <w:r>
        <w:rPr>
          <w:b/>
          <w:i/>
          <w:color w:val="C00000"/>
          <w:sz w:val="22"/>
          <w:szCs w:val="22"/>
        </w:rPr>
        <w:t xml:space="preserve">New </w:t>
      </w:r>
      <w:r w:rsidRPr="006837FB">
        <w:rPr>
          <w:b/>
          <w:i/>
          <w:color w:val="C00000"/>
          <w:sz w:val="22"/>
          <w:szCs w:val="22"/>
        </w:rPr>
        <w:t xml:space="preserve">provisions for permanent LIBOR discontinuation – </w:t>
      </w:r>
    </w:p>
    <w:p w14:paraId="0CB65721" w14:textId="77777777" w:rsidR="00252B4A" w:rsidRPr="00F56EFB" w:rsidRDefault="00252B4A" w:rsidP="00252B4A">
      <w:pPr>
        <w:pStyle w:val="FootnoteText"/>
        <w:jc w:val="both"/>
        <w:rPr>
          <w:sz w:val="22"/>
          <w:szCs w:val="22"/>
        </w:rPr>
      </w:pPr>
      <w:r w:rsidRPr="006837FB">
        <w:rPr>
          <w:sz w:val="22"/>
          <w:szCs w:val="22"/>
          <w:lang w:bidi="he-IL"/>
        </w:rPr>
        <w:tab/>
        <w:t xml:space="preserve">(b) </w:t>
      </w:r>
      <w:r>
        <w:rPr>
          <w:sz w:val="22"/>
          <w:szCs w:val="22"/>
          <w:lang w:bidi="he-IL"/>
        </w:rPr>
        <w:t>Notwithstanding the foregoing clause (a), i</w:t>
      </w:r>
      <w:r w:rsidRPr="006837FB">
        <w:rPr>
          <w:sz w:val="22"/>
          <w:szCs w:val="22"/>
          <w:lang w:bidi="he-IL"/>
        </w:rPr>
        <w:t>f at any time Lender determines (which determination shall be conclusive absent manifest error) that (</w:t>
      </w:r>
      <w:proofErr w:type="spellStart"/>
      <w:r w:rsidRPr="006837FB">
        <w:rPr>
          <w:sz w:val="22"/>
          <w:szCs w:val="22"/>
          <w:lang w:bidi="he-IL"/>
        </w:rPr>
        <w:t>i</w:t>
      </w:r>
      <w:proofErr w:type="spellEnd"/>
      <w:r w:rsidRPr="006837FB">
        <w:rPr>
          <w:sz w:val="22"/>
          <w:szCs w:val="22"/>
          <w:lang w:bidi="he-IL"/>
        </w:rPr>
        <w:t>) the circumstances set forth in clause (a)(</w:t>
      </w:r>
      <w:proofErr w:type="spellStart"/>
      <w:r w:rsidRPr="006837FB">
        <w:rPr>
          <w:sz w:val="22"/>
          <w:szCs w:val="22"/>
          <w:lang w:bidi="he-IL"/>
        </w:rPr>
        <w:t>i</w:t>
      </w:r>
      <w:proofErr w:type="spellEnd"/>
      <w:r w:rsidRPr="006837FB">
        <w:rPr>
          <w:sz w:val="22"/>
          <w:szCs w:val="22"/>
          <w:lang w:bidi="he-IL"/>
        </w:rPr>
        <w:t>) above have arisen and such circumstances are unlikely to be temporary or (ii) the circumstances set forth in clause (a)(</w:t>
      </w:r>
      <w:proofErr w:type="spellStart"/>
      <w:r w:rsidRPr="006837FB">
        <w:rPr>
          <w:sz w:val="22"/>
          <w:szCs w:val="22"/>
          <w:lang w:bidi="he-IL"/>
        </w:rPr>
        <w:t>i</w:t>
      </w:r>
      <w:proofErr w:type="spellEnd"/>
      <w:r w:rsidRPr="006837FB">
        <w:rPr>
          <w:sz w:val="22"/>
          <w:szCs w:val="22"/>
          <w:lang w:bidi="he-IL"/>
        </w:rPr>
        <w:t xml:space="preserve">) above have not arisen but the administrator of the Screen Rate, the applicable supervisor for the administrator of the Screen </w:t>
      </w:r>
      <w:r w:rsidRPr="00973FE3">
        <w:rPr>
          <w:sz w:val="22"/>
          <w:szCs w:val="22"/>
          <w:lang w:bidi="he-IL"/>
        </w:rPr>
        <w:t>Rate or a Governmental Authority having jurisdiction over Lender has made a public statement that the administrator of the Screen Rate has ceased or will cease to provide the Screen Rate permanently or indefinitely,</w:t>
      </w:r>
      <w:r w:rsidRPr="00973FE3">
        <w:rPr>
          <w:b/>
          <w:i/>
          <w:color w:val="C00000"/>
          <w:sz w:val="22"/>
          <w:szCs w:val="22"/>
        </w:rPr>
        <w:t xml:space="preserve"> </w:t>
      </w:r>
      <w:r w:rsidRPr="00973FE3">
        <w:rPr>
          <w:sz w:val="22"/>
          <w:szCs w:val="22"/>
        </w:rPr>
        <w:t>then Lender may</w:t>
      </w:r>
      <w:r w:rsidRPr="00252B4A">
        <w:rPr>
          <w:rStyle w:val="FootnoteReference"/>
          <w:sz w:val="22"/>
          <w:szCs w:val="22"/>
          <w:vertAlign w:val="superscript"/>
        </w:rPr>
        <w:footnoteReference w:id="1"/>
      </w:r>
      <w:r w:rsidRPr="00252B4A">
        <w:rPr>
          <w:sz w:val="22"/>
          <w:szCs w:val="22"/>
          <w:vertAlign w:val="superscript"/>
        </w:rPr>
        <w:t xml:space="preserve"> </w:t>
      </w:r>
      <w:r w:rsidRPr="00973FE3">
        <w:rPr>
          <w:sz w:val="22"/>
          <w:szCs w:val="22"/>
        </w:rPr>
        <w:t xml:space="preserve">[, </w:t>
      </w:r>
      <w:r w:rsidRPr="00973FE3">
        <w:rPr>
          <w:b/>
          <w:sz w:val="22"/>
          <w:szCs w:val="22"/>
        </w:rPr>
        <w:t>in consultation with Borrower,]</w:t>
      </w:r>
      <w:r w:rsidRPr="00EA34A9">
        <w:rPr>
          <w:rStyle w:val="FootnoteReference"/>
          <w:sz w:val="22"/>
          <w:szCs w:val="22"/>
          <w:vertAlign w:val="superscript"/>
        </w:rPr>
        <w:footnoteReference w:id="2"/>
      </w:r>
      <w:r w:rsidRPr="00973FE3">
        <w:rPr>
          <w:sz w:val="22"/>
          <w:szCs w:val="22"/>
        </w:rPr>
        <w:t xml:space="preserve"> establish as a substitute for the </w:t>
      </w:r>
      <w:r w:rsidRPr="00973FE3">
        <w:rPr>
          <w:rFonts w:eastAsia="Batang"/>
          <w:b/>
          <w:color w:val="000000"/>
          <w:w w:val="0"/>
          <w:sz w:val="22"/>
          <w:szCs w:val="22"/>
        </w:rPr>
        <w:t>[Adjusted LIBOR Rate]</w:t>
      </w:r>
      <w:r w:rsidRPr="00973FE3">
        <w:rPr>
          <w:rFonts w:eastAsia="Batang"/>
          <w:color w:val="000000"/>
          <w:w w:val="0"/>
          <w:sz w:val="22"/>
          <w:szCs w:val="22"/>
        </w:rPr>
        <w:t xml:space="preserve"> </w:t>
      </w:r>
      <w:r w:rsidRPr="00973FE3">
        <w:rPr>
          <w:rFonts w:eastAsia="Batang"/>
          <w:b/>
          <w:color w:val="000000"/>
          <w:w w:val="0"/>
          <w:sz w:val="22"/>
          <w:szCs w:val="22"/>
        </w:rPr>
        <w:t>[</w:t>
      </w:r>
      <w:r w:rsidRPr="00973FE3">
        <w:rPr>
          <w:b/>
          <w:sz w:val="22"/>
          <w:szCs w:val="22"/>
        </w:rPr>
        <w:t>LIBOR Index Rate]</w:t>
      </w:r>
      <w:r w:rsidRPr="00973FE3">
        <w:rPr>
          <w:sz w:val="22"/>
          <w:szCs w:val="22"/>
        </w:rPr>
        <w:t xml:space="preserve">  an interest rate based on </w:t>
      </w:r>
      <w:r>
        <w:rPr>
          <w:sz w:val="22"/>
          <w:szCs w:val="22"/>
        </w:rPr>
        <w:t>an</w:t>
      </w:r>
      <w:r w:rsidRPr="00973FE3">
        <w:rPr>
          <w:sz w:val="22"/>
          <w:szCs w:val="22"/>
        </w:rPr>
        <w:t xml:space="preserve"> alternative reference rate selected by the central bank, reserve bank, monetary authority or any similar institution (including any committee or working group thereof) that is consistent with accepted market practice (such alternative reference rate, the “</w:t>
      </w:r>
      <w:r w:rsidRPr="00973FE3">
        <w:rPr>
          <w:b/>
          <w:sz w:val="22"/>
          <w:szCs w:val="22"/>
        </w:rPr>
        <w:t>Alternative Index”</w:t>
      </w:r>
      <w:r w:rsidRPr="00973FE3">
        <w:rPr>
          <w:sz w:val="22"/>
          <w:szCs w:val="22"/>
        </w:rPr>
        <w:t xml:space="preserve">) </w:t>
      </w:r>
      <w:bookmarkStart w:id="4" w:name="_cp_text_1_12"/>
      <w:r w:rsidRPr="00973FE3">
        <w:rPr>
          <w:color w:val="000000" w:themeColor="text1"/>
          <w:kern w:val="24"/>
          <w:sz w:val="22"/>
          <w:szCs w:val="24"/>
        </w:rPr>
        <w:t>giving</w:t>
      </w:r>
      <w:r w:rsidRPr="007025FF">
        <w:rPr>
          <w:color w:val="000000" w:themeColor="text1"/>
          <w:kern w:val="24"/>
          <w:sz w:val="22"/>
          <w:szCs w:val="24"/>
        </w:rPr>
        <w:t xml:space="preserve"> due consideration to then prevailing market conventions, including without limitation, by making</w:t>
      </w:r>
      <w:bookmarkEnd w:id="4"/>
      <w:r>
        <w:rPr>
          <w:kern w:val="24"/>
          <w:sz w:val="22"/>
          <w:szCs w:val="24"/>
        </w:rPr>
        <w:t xml:space="preserve"> </w:t>
      </w:r>
      <w:r w:rsidRPr="006837FB">
        <w:rPr>
          <w:sz w:val="22"/>
          <w:szCs w:val="22"/>
        </w:rPr>
        <w:t>adjustments (“</w:t>
      </w:r>
      <w:r w:rsidRPr="0001785A">
        <w:rPr>
          <w:b/>
          <w:sz w:val="22"/>
          <w:szCs w:val="22"/>
        </w:rPr>
        <w:t>Adjustments</w:t>
      </w:r>
      <w:r w:rsidRPr="0001785A">
        <w:rPr>
          <w:sz w:val="22"/>
          <w:szCs w:val="22"/>
        </w:rPr>
        <w:t xml:space="preserve">”) to the Alternative Index so that the interest rate based on the Alternative Index will be substantially equivalent to the </w:t>
      </w:r>
      <w:r w:rsidRPr="0001785A">
        <w:rPr>
          <w:rFonts w:eastAsia="Batang"/>
          <w:b/>
          <w:color w:val="000000"/>
          <w:w w:val="0"/>
          <w:sz w:val="22"/>
          <w:szCs w:val="22"/>
        </w:rPr>
        <w:t>[Adjusted LIBOR Rate]</w:t>
      </w:r>
      <w:r w:rsidRPr="0001785A">
        <w:rPr>
          <w:rFonts w:eastAsia="Batang"/>
          <w:color w:val="000000"/>
          <w:w w:val="0"/>
          <w:sz w:val="22"/>
          <w:szCs w:val="22"/>
        </w:rPr>
        <w:t xml:space="preserve"> </w:t>
      </w:r>
      <w:r w:rsidRPr="0001785A">
        <w:rPr>
          <w:rFonts w:eastAsia="Batang"/>
          <w:b/>
          <w:color w:val="000000"/>
          <w:w w:val="0"/>
          <w:sz w:val="22"/>
          <w:szCs w:val="22"/>
        </w:rPr>
        <w:t>[</w:t>
      </w:r>
      <w:r w:rsidRPr="0001785A">
        <w:rPr>
          <w:b/>
          <w:sz w:val="22"/>
          <w:szCs w:val="22"/>
        </w:rPr>
        <w:t>LIBOR Index Rate]</w:t>
      </w:r>
      <w:r w:rsidRPr="0001785A">
        <w:rPr>
          <w:sz w:val="22"/>
          <w:szCs w:val="22"/>
        </w:rPr>
        <w:t>, as well as adjustments to the business day convention, interest rate determination dates and related provisions and definitions (the Alternative Index, as adjusted by the Adjustments, referred to as the “</w:t>
      </w:r>
      <w:r w:rsidRPr="0001785A">
        <w:rPr>
          <w:b/>
          <w:sz w:val="22"/>
          <w:szCs w:val="22"/>
        </w:rPr>
        <w:t>Replacement Rate</w:t>
      </w:r>
      <w:r w:rsidRPr="0001785A">
        <w:rPr>
          <w:sz w:val="22"/>
          <w:szCs w:val="22"/>
        </w:rPr>
        <w:t>”.)</w:t>
      </w:r>
      <w:r w:rsidRPr="00EA34A9">
        <w:rPr>
          <w:rStyle w:val="FootnoteReference"/>
          <w:sz w:val="22"/>
          <w:szCs w:val="22"/>
          <w:vertAlign w:val="superscript"/>
        </w:rPr>
        <w:footnoteReference w:id="3"/>
      </w:r>
      <w:r w:rsidRPr="00EA34A9">
        <w:rPr>
          <w:sz w:val="22"/>
          <w:szCs w:val="22"/>
          <w:vertAlign w:val="superscript"/>
        </w:rPr>
        <w:t xml:space="preserve"> </w:t>
      </w:r>
      <w:r w:rsidRPr="0001785A">
        <w:rPr>
          <w:sz w:val="22"/>
          <w:szCs w:val="22"/>
        </w:rPr>
        <w:t xml:space="preserve"> Lender</w:t>
      </w:r>
      <w:r w:rsidRPr="002C4B21">
        <w:rPr>
          <w:sz w:val="22"/>
          <w:szCs w:val="22"/>
        </w:rPr>
        <w:t xml:space="preserve"> and Borrower </w:t>
      </w:r>
      <w:r>
        <w:rPr>
          <w:sz w:val="22"/>
          <w:szCs w:val="22"/>
        </w:rPr>
        <w:t>shall endeavor to</w:t>
      </w:r>
      <w:r w:rsidRPr="002C4B21">
        <w:rPr>
          <w:sz w:val="22"/>
          <w:szCs w:val="22"/>
        </w:rPr>
        <w:t xml:space="preserve"> enter into an amendment to this Agreement to reflect the </w:t>
      </w:r>
      <w:r>
        <w:rPr>
          <w:sz w:val="22"/>
          <w:szCs w:val="22"/>
        </w:rPr>
        <w:t>Replacement Rate</w:t>
      </w:r>
      <w:r w:rsidRPr="002C4B21">
        <w:rPr>
          <w:sz w:val="22"/>
          <w:szCs w:val="22"/>
        </w:rPr>
        <w:t xml:space="preserve">.  Until such an amendment has been executed, </w:t>
      </w:r>
      <w:r>
        <w:rPr>
          <w:sz w:val="22"/>
          <w:szCs w:val="22"/>
        </w:rPr>
        <w:t xml:space="preserve">(y) </w:t>
      </w:r>
      <w:r w:rsidRPr="002C4B21">
        <w:rPr>
          <w:sz w:val="22"/>
          <w:szCs w:val="22"/>
        </w:rPr>
        <w:t>in the case of the circu</w:t>
      </w:r>
      <w:r>
        <w:rPr>
          <w:sz w:val="22"/>
          <w:szCs w:val="22"/>
        </w:rPr>
        <w:t>mstances described in clause (</w:t>
      </w:r>
      <w:proofErr w:type="spellStart"/>
      <w:r>
        <w:rPr>
          <w:sz w:val="22"/>
          <w:szCs w:val="22"/>
        </w:rPr>
        <w:t>i</w:t>
      </w:r>
      <w:proofErr w:type="spellEnd"/>
      <w:r w:rsidRPr="002C4B21">
        <w:rPr>
          <w:sz w:val="22"/>
          <w:szCs w:val="22"/>
        </w:rPr>
        <w:t xml:space="preserve">) of the first sentence of this </w:t>
      </w:r>
      <w:r w:rsidRPr="002C4B21">
        <w:rPr>
          <w:sz w:val="22"/>
          <w:szCs w:val="22"/>
          <w:u w:val="single"/>
        </w:rPr>
        <w:t>Section 2.7(b)</w:t>
      </w:r>
      <w:r w:rsidRPr="002C4B21">
        <w:rPr>
          <w:sz w:val="22"/>
          <w:szCs w:val="22"/>
        </w:rPr>
        <w:t>,</w:t>
      </w:r>
      <w:r>
        <w:rPr>
          <w:sz w:val="22"/>
          <w:szCs w:val="22"/>
        </w:rPr>
        <w:t xml:space="preserve"> </w:t>
      </w:r>
      <w:r w:rsidRPr="002C4B21">
        <w:rPr>
          <w:sz w:val="22"/>
          <w:szCs w:val="22"/>
        </w:rPr>
        <w:t xml:space="preserve">the Loan shall bear interest at the Base </w:t>
      </w:r>
      <w:r>
        <w:rPr>
          <w:sz w:val="22"/>
          <w:szCs w:val="22"/>
        </w:rPr>
        <w:t xml:space="preserve">Rate as provided in </w:t>
      </w:r>
      <w:r w:rsidRPr="00C91219">
        <w:rPr>
          <w:sz w:val="22"/>
          <w:szCs w:val="22"/>
          <w:u w:val="single"/>
        </w:rPr>
        <w:t>Section 2.7(a)</w:t>
      </w:r>
      <w:r>
        <w:rPr>
          <w:sz w:val="22"/>
          <w:szCs w:val="22"/>
        </w:rPr>
        <w:t xml:space="preserve">, and (z) </w:t>
      </w:r>
      <w:r w:rsidRPr="002C4B21">
        <w:rPr>
          <w:sz w:val="22"/>
          <w:szCs w:val="22"/>
        </w:rPr>
        <w:t xml:space="preserve">in the case of the circumstances described in clause (ii) of the first sentence of this </w:t>
      </w:r>
      <w:r w:rsidRPr="002C4B21">
        <w:rPr>
          <w:sz w:val="22"/>
          <w:szCs w:val="22"/>
          <w:u w:val="single"/>
        </w:rPr>
        <w:t>Section 2.7(b)</w:t>
      </w:r>
      <w:r>
        <w:rPr>
          <w:sz w:val="22"/>
          <w:szCs w:val="22"/>
        </w:rPr>
        <w:t xml:space="preserve">, while the Screen Rate for such Interest </w:t>
      </w:r>
      <w:r w:rsidRPr="001679F8">
        <w:rPr>
          <w:sz w:val="22"/>
          <w:szCs w:val="22"/>
        </w:rPr>
        <w:t xml:space="preserve">Period continues to be published at such time on a current basis, the Loan shall continue to bear interest at the </w:t>
      </w:r>
      <w:r w:rsidRPr="001679F8">
        <w:rPr>
          <w:rFonts w:eastAsia="Batang"/>
          <w:b/>
          <w:color w:val="000000"/>
          <w:w w:val="0"/>
          <w:sz w:val="22"/>
          <w:szCs w:val="22"/>
        </w:rPr>
        <w:t>[Adjusted LIBOR Rate]</w:t>
      </w:r>
      <w:r w:rsidRPr="001679F8">
        <w:rPr>
          <w:rFonts w:eastAsia="Batang"/>
          <w:color w:val="000000"/>
          <w:w w:val="0"/>
          <w:sz w:val="22"/>
          <w:szCs w:val="22"/>
        </w:rPr>
        <w:t xml:space="preserve"> </w:t>
      </w:r>
      <w:r w:rsidRPr="001679F8">
        <w:rPr>
          <w:rFonts w:eastAsia="Batang"/>
          <w:b/>
          <w:color w:val="000000"/>
          <w:w w:val="0"/>
          <w:sz w:val="22"/>
          <w:szCs w:val="22"/>
        </w:rPr>
        <w:t>[</w:t>
      </w:r>
      <w:r w:rsidRPr="001679F8">
        <w:rPr>
          <w:b/>
          <w:sz w:val="22"/>
          <w:szCs w:val="22"/>
        </w:rPr>
        <w:t>LIBOR Index Rate]</w:t>
      </w:r>
      <w:r w:rsidRPr="001679F8">
        <w:rPr>
          <w:sz w:val="22"/>
          <w:szCs w:val="22"/>
        </w:rPr>
        <w:t xml:space="preserve">  plus the Applicable Margin.  If at any time the Replacement Rate is less than zero percent (0%), the Replacement Rate will be deemed to be zero percent (0%) for purposes of this Agreement.  Absent manifest error, Lender’s determination of the Replacement Rate for an </w:t>
      </w:r>
      <w:r w:rsidRPr="001679F8">
        <w:rPr>
          <w:sz w:val="22"/>
          <w:szCs w:val="22"/>
        </w:rPr>
        <w:lastRenderedPageBreak/>
        <w:t xml:space="preserve">interest rate period will be binding and conclusive on the parties.  </w:t>
      </w:r>
      <w:r w:rsidRPr="001679F8">
        <w:rPr>
          <w:b/>
          <w:sz w:val="22"/>
          <w:szCs w:val="22"/>
        </w:rPr>
        <w:t>[The determination by Lender of the Replacement Rate, and its calculation</w:t>
      </w:r>
      <w:r w:rsidRPr="006837FB">
        <w:rPr>
          <w:b/>
          <w:sz w:val="22"/>
          <w:szCs w:val="22"/>
        </w:rPr>
        <w:t xml:space="preserve"> of interest for any interest rate period, will be maintained on file at Lender’s principal executive offices and will be made available to Borrower upon request.]</w:t>
      </w:r>
      <w:r w:rsidRPr="00515BC1">
        <w:rPr>
          <w:rStyle w:val="FootnoteReference"/>
          <w:b/>
          <w:sz w:val="22"/>
          <w:szCs w:val="22"/>
          <w:vertAlign w:val="superscript"/>
        </w:rPr>
        <w:footnoteReference w:id="4"/>
      </w:r>
    </w:p>
    <w:p w14:paraId="4A394DF3" w14:textId="77777777" w:rsidR="00252B4A" w:rsidRPr="006837FB" w:rsidRDefault="00252B4A" w:rsidP="00252B4A">
      <w:pPr>
        <w:pStyle w:val="FootnoteText"/>
        <w:jc w:val="both"/>
        <w:rPr>
          <w:i/>
        </w:rPr>
      </w:pPr>
    </w:p>
    <w:p w14:paraId="13704FA0" w14:textId="6E4ED697" w:rsidR="00252B4A" w:rsidRDefault="00252B4A" w:rsidP="00515BC1">
      <w:pPr>
        <w:pStyle w:val="BodyTextFirstIndent2"/>
        <w:ind w:left="0" w:firstLine="0"/>
        <w:jc w:val="both"/>
        <w:rPr>
          <w:b/>
          <w:sz w:val="22"/>
          <w:szCs w:val="22"/>
        </w:rPr>
      </w:pPr>
      <w:r>
        <w:rPr>
          <w:sz w:val="22"/>
          <w:szCs w:val="22"/>
        </w:rPr>
        <w:tab/>
        <w:t xml:space="preserve">(c)  </w:t>
      </w:r>
      <w:r w:rsidRPr="004E787F">
        <w:rPr>
          <w:sz w:val="22"/>
          <w:szCs w:val="22"/>
        </w:rPr>
        <w:t>If at any time</w:t>
      </w:r>
      <w:r>
        <w:rPr>
          <w:sz w:val="22"/>
          <w:szCs w:val="22"/>
        </w:rPr>
        <w:t xml:space="preserve"> subsequent to implementation of the Replacement Rate</w:t>
      </w:r>
      <w:r w:rsidRPr="004E787F">
        <w:rPr>
          <w:sz w:val="22"/>
          <w:szCs w:val="22"/>
        </w:rPr>
        <w:t>, Lender shall have determined (which determination shall be conclusive and binding upon Borrower</w:t>
      </w:r>
      <w:r w:rsidRPr="004E787F">
        <w:rPr>
          <w:b/>
          <w:sz w:val="22"/>
          <w:szCs w:val="22"/>
        </w:rPr>
        <w:t>)</w:t>
      </w:r>
      <w:r w:rsidRPr="004E787F">
        <w:rPr>
          <w:sz w:val="22"/>
          <w:szCs w:val="22"/>
        </w:rPr>
        <w:t xml:space="preserve"> that adequate means do not exist for ascertaining the </w:t>
      </w:r>
      <w:r>
        <w:rPr>
          <w:rFonts w:eastAsia="Batang"/>
          <w:color w:val="000000"/>
          <w:sz w:val="22"/>
          <w:szCs w:val="22"/>
        </w:rPr>
        <w:t>Replacement</w:t>
      </w:r>
      <w:r w:rsidRPr="00086D8E">
        <w:rPr>
          <w:rFonts w:eastAsia="Batang"/>
          <w:color w:val="000000"/>
          <w:sz w:val="22"/>
          <w:szCs w:val="22"/>
        </w:rPr>
        <w:t xml:space="preserve"> Rate</w:t>
      </w:r>
      <w:r w:rsidRPr="004E787F">
        <w:rPr>
          <w:sz w:val="22"/>
          <w:szCs w:val="22"/>
        </w:rPr>
        <w:t xml:space="preserve">, </w:t>
      </w:r>
      <w:r>
        <w:rPr>
          <w:sz w:val="22"/>
          <w:szCs w:val="22"/>
        </w:rPr>
        <w:t xml:space="preserve">then </w:t>
      </w:r>
      <w:r w:rsidRPr="004E787F">
        <w:rPr>
          <w:sz w:val="22"/>
          <w:szCs w:val="22"/>
        </w:rPr>
        <w:t>Lender shall give written notice</w:t>
      </w:r>
      <w:r>
        <w:rPr>
          <w:sz w:val="22"/>
          <w:szCs w:val="22"/>
        </w:rPr>
        <w:t xml:space="preserve"> thereof</w:t>
      </w:r>
      <w:r w:rsidRPr="004E787F">
        <w:rPr>
          <w:sz w:val="22"/>
          <w:szCs w:val="22"/>
        </w:rPr>
        <w:t xml:space="preserve"> (or telephonic notice, </w:t>
      </w:r>
      <w:r w:rsidRPr="008628BC">
        <w:rPr>
          <w:sz w:val="22"/>
          <w:szCs w:val="22"/>
        </w:rPr>
        <w:t>promptly confirmed in writing) to Borrower as soon as practicable thereafter. Until Lender notifies Borrower that the circumstances giving rise to such notice no longer exist, the Loan shall be converted to a Loan bearing interest at the Base Rate</w:t>
      </w:r>
      <w:r w:rsidRPr="008628BC">
        <w:rPr>
          <w:b/>
          <w:sz w:val="22"/>
          <w:szCs w:val="22"/>
        </w:rPr>
        <w:t xml:space="preserve">. </w:t>
      </w:r>
    </w:p>
    <w:p w14:paraId="618B553E" w14:textId="77777777" w:rsidR="00651EBD" w:rsidRPr="008628BC" w:rsidRDefault="00651EBD" w:rsidP="00515BC1">
      <w:pPr>
        <w:pStyle w:val="BodyTextFirstIndent2"/>
        <w:ind w:left="0" w:firstLine="0"/>
        <w:jc w:val="both"/>
        <w:rPr>
          <w:sz w:val="22"/>
          <w:szCs w:val="22"/>
        </w:rPr>
      </w:pPr>
    </w:p>
    <w:p w14:paraId="56AB79A0" w14:textId="32BB0B9D" w:rsidR="00252B4A" w:rsidRPr="00036DDF" w:rsidRDefault="00252B4A" w:rsidP="00252B4A">
      <w:pPr>
        <w:pStyle w:val="BodyTextFirstIndent2"/>
        <w:ind w:left="0" w:firstLine="0"/>
        <w:rPr>
          <w:b/>
          <w:i/>
          <w:color w:val="C0504D" w:themeColor="accent2"/>
          <w:sz w:val="22"/>
          <w:szCs w:val="22"/>
        </w:rPr>
      </w:pPr>
      <w:r w:rsidRPr="00036DDF">
        <w:rPr>
          <w:b/>
          <w:i/>
          <w:color w:val="C0504D" w:themeColor="accent2"/>
          <w:sz w:val="22"/>
          <w:szCs w:val="22"/>
        </w:rPr>
        <w:t>Additional conforming revisions to CRE form loan agreements:</w:t>
      </w:r>
    </w:p>
    <w:p w14:paraId="4CB94E7E" w14:textId="77777777" w:rsidR="00651EBD" w:rsidRPr="00036DDF" w:rsidRDefault="00651EBD" w:rsidP="00252B4A">
      <w:pPr>
        <w:pStyle w:val="BodyTextFirstIndent2"/>
        <w:ind w:left="0" w:firstLine="0"/>
        <w:rPr>
          <w:b/>
          <w:i/>
          <w:sz w:val="22"/>
          <w:szCs w:val="22"/>
        </w:rPr>
      </w:pPr>
    </w:p>
    <w:p w14:paraId="0B65DA6D" w14:textId="5B206A3B" w:rsidR="00252B4A" w:rsidRDefault="00252B4A" w:rsidP="00252B4A">
      <w:pPr>
        <w:pStyle w:val="BodyTextFirstIndent2"/>
        <w:ind w:left="0" w:firstLine="0"/>
        <w:rPr>
          <w:b/>
          <w:sz w:val="22"/>
          <w:szCs w:val="22"/>
        </w:rPr>
      </w:pPr>
      <w:r w:rsidRPr="00651EBD">
        <w:rPr>
          <w:b/>
          <w:sz w:val="22"/>
          <w:szCs w:val="22"/>
        </w:rPr>
        <w:t>Add to Definitions:</w:t>
      </w:r>
    </w:p>
    <w:p w14:paraId="05982F9B" w14:textId="77777777" w:rsidR="00036DDF" w:rsidRPr="00651EBD" w:rsidRDefault="00036DDF" w:rsidP="00252B4A">
      <w:pPr>
        <w:pStyle w:val="BodyTextFirstIndent2"/>
        <w:ind w:left="0" w:firstLine="0"/>
        <w:rPr>
          <w:b/>
          <w:sz w:val="22"/>
          <w:szCs w:val="22"/>
        </w:rPr>
      </w:pPr>
    </w:p>
    <w:p w14:paraId="5D793F45" w14:textId="77777777" w:rsidR="00252B4A" w:rsidRPr="00651EBD" w:rsidRDefault="00252B4A" w:rsidP="00252B4A">
      <w:pPr>
        <w:pStyle w:val="BodyText"/>
        <w:spacing w:after="220"/>
        <w:rPr>
          <w:i/>
          <w:sz w:val="22"/>
          <w:szCs w:val="22"/>
        </w:rPr>
      </w:pPr>
      <w:r w:rsidRPr="00651EBD">
        <w:rPr>
          <w:sz w:val="22"/>
          <w:szCs w:val="22"/>
        </w:rPr>
        <w:t xml:space="preserve"> “</w:t>
      </w:r>
      <w:r w:rsidRPr="00651EBD">
        <w:rPr>
          <w:sz w:val="22"/>
          <w:szCs w:val="22"/>
          <w:u w:val="single"/>
        </w:rPr>
        <w:t>Screen Rate</w:t>
      </w:r>
      <w:r w:rsidRPr="00651EBD">
        <w:rPr>
          <w:sz w:val="22"/>
          <w:szCs w:val="22"/>
        </w:rPr>
        <w:t xml:space="preserve">” </w:t>
      </w:r>
      <w:r w:rsidRPr="00036DDF">
        <w:rPr>
          <w:b w:val="0"/>
          <w:sz w:val="22"/>
          <w:szCs w:val="22"/>
        </w:rPr>
        <w:t>shall mean the rate specified in clause (</w:t>
      </w:r>
      <w:proofErr w:type="spellStart"/>
      <w:r w:rsidRPr="00036DDF">
        <w:rPr>
          <w:b w:val="0"/>
          <w:sz w:val="22"/>
          <w:szCs w:val="22"/>
        </w:rPr>
        <w:t>i</w:t>
      </w:r>
      <w:proofErr w:type="spellEnd"/>
      <w:r w:rsidRPr="00036DDF">
        <w:rPr>
          <w:b w:val="0"/>
          <w:sz w:val="22"/>
          <w:szCs w:val="22"/>
        </w:rPr>
        <w:t>) of the definition of</w:t>
      </w:r>
      <w:r w:rsidRPr="00651EBD">
        <w:rPr>
          <w:sz w:val="22"/>
          <w:szCs w:val="22"/>
        </w:rPr>
        <w:t xml:space="preserve"> </w:t>
      </w:r>
      <w:r w:rsidRPr="00651EBD">
        <w:rPr>
          <w:rFonts w:eastAsia="Batang"/>
          <w:color w:val="000000"/>
          <w:w w:val="0"/>
          <w:sz w:val="22"/>
          <w:szCs w:val="22"/>
        </w:rPr>
        <w:t>[Adjusted LIBOR Rate] [</w:t>
      </w:r>
      <w:r w:rsidRPr="00651EBD">
        <w:rPr>
          <w:sz w:val="22"/>
          <w:szCs w:val="22"/>
        </w:rPr>
        <w:t xml:space="preserve">LIBOR Index Rate].  </w:t>
      </w:r>
    </w:p>
    <w:p w14:paraId="0F7D1256" w14:textId="33EC7921" w:rsidR="00252B4A" w:rsidRDefault="00252B4A" w:rsidP="00252B4A">
      <w:pPr>
        <w:pStyle w:val="BodyTextFirstIndent2"/>
        <w:ind w:left="0" w:firstLine="0"/>
        <w:rPr>
          <w:b/>
          <w:sz w:val="22"/>
          <w:szCs w:val="22"/>
        </w:rPr>
      </w:pPr>
      <w:r w:rsidRPr="00651EBD">
        <w:rPr>
          <w:b/>
          <w:sz w:val="22"/>
          <w:szCs w:val="22"/>
        </w:rPr>
        <w:t xml:space="preserve">Revised Section 2.4 (additions in </w:t>
      </w:r>
      <w:r w:rsidRPr="00651EBD">
        <w:rPr>
          <w:b/>
          <w:sz w:val="22"/>
          <w:szCs w:val="22"/>
          <w:highlight w:val="cyan"/>
        </w:rPr>
        <w:t>blue</w:t>
      </w:r>
      <w:r w:rsidRPr="00651EBD">
        <w:rPr>
          <w:b/>
          <w:sz w:val="22"/>
          <w:szCs w:val="22"/>
        </w:rPr>
        <w:t>):</w:t>
      </w:r>
    </w:p>
    <w:p w14:paraId="11EFA9FA" w14:textId="77777777" w:rsidR="00036DDF" w:rsidRPr="00651EBD" w:rsidRDefault="00036DDF" w:rsidP="00252B4A">
      <w:pPr>
        <w:pStyle w:val="BodyTextFirstIndent2"/>
        <w:ind w:left="0" w:firstLine="0"/>
        <w:rPr>
          <w:b/>
          <w:sz w:val="22"/>
          <w:szCs w:val="22"/>
        </w:rPr>
      </w:pPr>
    </w:p>
    <w:p w14:paraId="4C351FAB" w14:textId="77777777" w:rsidR="00252B4A" w:rsidRPr="00651EBD" w:rsidRDefault="00252B4A" w:rsidP="00252B4A">
      <w:pPr>
        <w:pStyle w:val="Heading2"/>
        <w:numPr>
          <w:ilvl w:val="0"/>
          <w:numId w:val="0"/>
        </w:numPr>
        <w:ind w:left="1440"/>
        <w:rPr>
          <w:rFonts w:ascii="Times New Roman" w:hAnsi="Times New Roman" w:cs="Times New Roman"/>
          <w:kern w:val="0"/>
          <w:sz w:val="22"/>
          <w:szCs w:val="22"/>
          <w:u w:val="none"/>
        </w:rPr>
      </w:pPr>
      <w:bookmarkStart w:id="5" w:name="_Toc517884310"/>
      <w:proofErr w:type="gramStart"/>
      <w:r w:rsidRPr="00651EBD">
        <w:rPr>
          <w:rFonts w:ascii="Times New Roman" w:hAnsi="Times New Roman" w:cs="Times New Roman"/>
          <w:kern w:val="0"/>
          <w:sz w:val="22"/>
          <w:szCs w:val="22"/>
        </w:rPr>
        <w:t>Section 2.4 Interest on Loan</w:t>
      </w:r>
      <w:r w:rsidRPr="00651EBD">
        <w:rPr>
          <w:rFonts w:ascii="Times New Roman" w:hAnsi="Times New Roman" w:cs="Times New Roman"/>
          <w:kern w:val="0"/>
          <w:sz w:val="22"/>
          <w:szCs w:val="22"/>
          <w:u w:val="none"/>
        </w:rPr>
        <w:t>.</w:t>
      </w:r>
      <w:bookmarkEnd w:id="5"/>
      <w:proofErr w:type="gramEnd"/>
    </w:p>
    <w:p w14:paraId="2D0CC654" w14:textId="77777777" w:rsidR="00252B4A" w:rsidRPr="00651EBD" w:rsidRDefault="00252B4A" w:rsidP="00252B4A">
      <w:pPr>
        <w:pStyle w:val="Heading3"/>
        <w:numPr>
          <w:ilvl w:val="0"/>
          <w:numId w:val="0"/>
        </w:numPr>
        <w:ind w:firstLine="1440"/>
        <w:rPr>
          <w:rFonts w:eastAsia="Batang" w:cs="Times New Roman"/>
          <w:b/>
          <w:kern w:val="0"/>
          <w:sz w:val="22"/>
          <w:szCs w:val="22"/>
          <w:highlight w:val="cyan"/>
        </w:rPr>
      </w:pPr>
      <w:bookmarkStart w:id="6" w:name="_DV_C970"/>
      <w:r w:rsidRPr="00651EBD">
        <w:rPr>
          <w:rFonts w:eastAsia="Batang" w:cs="Times New Roman"/>
          <w:kern w:val="0"/>
          <w:sz w:val="22"/>
          <w:szCs w:val="22"/>
        </w:rPr>
        <w:t xml:space="preserve">(a) Subject to </w:t>
      </w:r>
      <w:r w:rsidRPr="00651EBD">
        <w:rPr>
          <w:rFonts w:eastAsia="Batang" w:cs="Times New Roman"/>
          <w:kern w:val="0"/>
          <w:sz w:val="22"/>
          <w:szCs w:val="22"/>
          <w:u w:val="single"/>
        </w:rPr>
        <w:t>Section 2.7</w:t>
      </w:r>
      <w:r w:rsidRPr="00651EBD">
        <w:rPr>
          <w:rFonts w:eastAsia="Batang" w:cs="Times New Roman"/>
          <w:kern w:val="0"/>
          <w:sz w:val="22"/>
          <w:szCs w:val="22"/>
        </w:rPr>
        <w:t xml:space="preserve"> and </w:t>
      </w:r>
      <w:r w:rsidRPr="00651EBD">
        <w:rPr>
          <w:rFonts w:eastAsia="Batang" w:cs="Times New Roman"/>
          <w:kern w:val="0"/>
          <w:sz w:val="22"/>
          <w:szCs w:val="22"/>
          <w:u w:val="single"/>
        </w:rPr>
        <w:t>Section 2.8</w:t>
      </w:r>
      <w:r w:rsidRPr="00651EBD">
        <w:rPr>
          <w:rFonts w:eastAsia="Batang" w:cs="Times New Roman"/>
          <w:kern w:val="0"/>
          <w:sz w:val="22"/>
          <w:szCs w:val="22"/>
        </w:rPr>
        <w:t xml:space="preserve"> below, </w:t>
      </w:r>
      <w:bookmarkEnd w:id="6"/>
      <w:r w:rsidRPr="00651EBD">
        <w:rPr>
          <w:rFonts w:eastAsia="Batang" w:cs="Times New Roman"/>
          <w:kern w:val="0"/>
          <w:sz w:val="22"/>
          <w:szCs w:val="22"/>
        </w:rPr>
        <w:t xml:space="preserve">Borrower shall pay interest on </w:t>
      </w:r>
      <w:bookmarkStart w:id="7" w:name="_DV_C972"/>
      <w:r w:rsidRPr="00651EBD">
        <w:rPr>
          <w:rFonts w:eastAsia="Batang" w:cs="Times New Roman"/>
          <w:kern w:val="0"/>
          <w:sz w:val="22"/>
          <w:szCs w:val="22"/>
        </w:rPr>
        <w:t>the</w:t>
      </w:r>
      <w:bookmarkStart w:id="8" w:name="_DV_M463"/>
      <w:bookmarkEnd w:id="7"/>
      <w:bookmarkEnd w:id="8"/>
      <w:r w:rsidRPr="00651EBD">
        <w:rPr>
          <w:rFonts w:eastAsia="Batang" w:cs="Times New Roman"/>
          <w:kern w:val="0"/>
          <w:sz w:val="22"/>
          <w:szCs w:val="22"/>
        </w:rPr>
        <w:t xml:space="preserve"> Loan</w:t>
      </w:r>
      <w:r w:rsidRPr="00651EBD">
        <w:rPr>
          <w:rFonts w:eastAsia="Batang" w:cs="Times New Roman"/>
          <w:kern w:val="0"/>
          <w:sz w:val="22"/>
          <w:szCs w:val="22"/>
          <w:highlight w:val="cyan"/>
        </w:rPr>
        <w:t>: (</w:t>
      </w:r>
      <w:proofErr w:type="spellStart"/>
      <w:r w:rsidRPr="00651EBD">
        <w:rPr>
          <w:rFonts w:eastAsia="Batang" w:cs="Times New Roman"/>
          <w:kern w:val="0"/>
          <w:sz w:val="22"/>
          <w:szCs w:val="22"/>
          <w:highlight w:val="cyan"/>
        </w:rPr>
        <w:t>i</w:t>
      </w:r>
      <w:proofErr w:type="spellEnd"/>
      <w:r w:rsidRPr="00651EBD">
        <w:rPr>
          <w:rFonts w:eastAsia="Batang" w:cs="Times New Roman"/>
          <w:kern w:val="0"/>
          <w:sz w:val="22"/>
          <w:szCs w:val="22"/>
          <w:highlight w:val="cyan"/>
        </w:rPr>
        <w:t>)</w:t>
      </w:r>
      <w:r w:rsidRPr="00651EBD">
        <w:rPr>
          <w:rFonts w:eastAsia="Batang" w:cs="Times New Roman"/>
          <w:kern w:val="0"/>
          <w:sz w:val="22"/>
          <w:szCs w:val="22"/>
        </w:rPr>
        <w:t xml:space="preserve"> at the </w:t>
      </w:r>
      <w:r w:rsidRPr="00651EBD">
        <w:rPr>
          <w:rFonts w:eastAsia="Batang" w:cs="Times New Roman"/>
          <w:b/>
          <w:color w:val="000000"/>
          <w:w w:val="0"/>
          <w:sz w:val="22"/>
          <w:szCs w:val="22"/>
        </w:rPr>
        <w:t>[Adjusted LIBOR Rate]</w:t>
      </w:r>
      <w:r w:rsidRPr="00651EBD">
        <w:rPr>
          <w:rFonts w:eastAsia="Batang" w:cs="Times New Roman"/>
          <w:color w:val="000000"/>
          <w:w w:val="0"/>
          <w:sz w:val="22"/>
          <w:szCs w:val="22"/>
        </w:rPr>
        <w:t xml:space="preserve"> </w:t>
      </w:r>
      <w:r w:rsidRPr="00651EBD">
        <w:rPr>
          <w:rFonts w:eastAsia="Batang" w:cs="Times New Roman"/>
          <w:b/>
          <w:color w:val="000000"/>
          <w:w w:val="0"/>
          <w:sz w:val="22"/>
          <w:szCs w:val="22"/>
        </w:rPr>
        <w:t>[</w:t>
      </w:r>
      <w:r w:rsidRPr="00651EBD">
        <w:rPr>
          <w:rFonts w:cs="Times New Roman"/>
          <w:b/>
          <w:sz w:val="22"/>
          <w:szCs w:val="22"/>
        </w:rPr>
        <w:t>LIBOR Index Rate]</w:t>
      </w:r>
      <w:r w:rsidRPr="00651EBD">
        <w:rPr>
          <w:rFonts w:eastAsia="Batang" w:cs="Times New Roman"/>
          <w:kern w:val="0"/>
          <w:sz w:val="22"/>
          <w:szCs w:val="22"/>
        </w:rPr>
        <w:t xml:space="preserve"> in effect for the applicable Interest Period </w:t>
      </w:r>
      <w:bookmarkStart w:id="9" w:name="_DV_M464"/>
      <w:bookmarkEnd w:id="9"/>
      <w:r w:rsidRPr="00651EBD">
        <w:rPr>
          <w:rFonts w:eastAsia="Batang" w:cs="Times New Roman"/>
          <w:kern w:val="0"/>
          <w:sz w:val="22"/>
          <w:szCs w:val="22"/>
        </w:rPr>
        <w:t>plus the Applicable Margin in effect from time to time</w:t>
      </w:r>
      <w:bookmarkStart w:id="10" w:name="_DV_C974"/>
      <w:r w:rsidRPr="00651EBD">
        <w:rPr>
          <w:rFonts w:eastAsia="Batang" w:cs="Times New Roman"/>
          <w:kern w:val="0"/>
          <w:sz w:val="22"/>
          <w:szCs w:val="22"/>
        </w:rPr>
        <w:t xml:space="preserve">, or </w:t>
      </w:r>
      <w:r w:rsidRPr="00651EBD">
        <w:rPr>
          <w:rFonts w:eastAsia="Batang" w:cs="Times New Roman"/>
          <w:kern w:val="0"/>
          <w:sz w:val="22"/>
          <w:szCs w:val="22"/>
          <w:highlight w:val="cyan"/>
        </w:rPr>
        <w:t>(ii)</w:t>
      </w:r>
      <w:bookmarkEnd w:id="10"/>
      <w:r w:rsidRPr="00651EBD">
        <w:rPr>
          <w:rFonts w:eastAsia="Batang" w:cs="Times New Roman"/>
          <w:b/>
          <w:kern w:val="0"/>
          <w:sz w:val="22"/>
          <w:szCs w:val="22"/>
          <w:highlight w:val="cyan"/>
        </w:rPr>
        <w:t xml:space="preserve"> </w:t>
      </w:r>
      <w:r w:rsidRPr="00651EBD">
        <w:rPr>
          <w:rFonts w:eastAsia="Batang" w:cs="Times New Roman"/>
          <w:kern w:val="0"/>
          <w:sz w:val="22"/>
          <w:szCs w:val="22"/>
          <w:highlight w:val="cyan"/>
        </w:rPr>
        <w:t xml:space="preserve">from and after implementation of the Replacement Rate pursuant to </w:t>
      </w:r>
      <w:r w:rsidRPr="00651EBD">
        <w:rPr>
          <w:rFonts w:eastAsia="Batang" w:cs="Times New Roman"/>
          <w:kern w:val="0"/>
          <w:sz w:val="22"/>
          <w:szCs w:val="22"/>
          <w:highlight w:val="cyan"/>
          <w:u w:val="single"/>
        </w:rPr>
        <w:t>Section 2.7(b)</w:t>
      </w:r>
      <w:r w:rsidRPr="00651EBD">
        <w:rPr>
          <w:rFonts w:eastAsia="Batang" w:cs="Times New Roman"/>
          <w:kern w:val="0"/>
          <w:sz w:val="22"/>
          <w:szCs w:val="22"/>
          <w:highlight w:val="cyan"/>
        </w:rPr>
        <w:t>, at the Replacement Rate in effect for the applicable Interest Period plus the Applicable Margin in effect from time to time</w:t>
      </w:r>
      <w:r w:rsidRPr="00651EBD">
        <w:rPr>
          <w:rFonts w:eastAsia="Batang" w:cs="Times New Roman"/>
          <w:kern w:val="0"/>
          <w:sz w:val="22"/>
          <w:szCs w:val="22"/>
        </w:rPr>
        <w:t xml:space="preserve"> (the “</w:t>
      </w:r>
      <w:r w:rsidRPr="00651EBD">
        <w:rPr>
          <w:rFonts w:eastAsia="Batang" w:cs="Times New Roman"/>
          <w:b/>
          <w:kern w:val="0"/>
          <w:sz w:val="22"/>
          <w:szCs w:val="22"/>
          <w:u w:val="single"/>
        </w:rPr>
        <w:t>Applicable Interest Rate</w:t>
      </w:r>
      <w:r w:rsidRPr="00651EBD">
        <w:rPr>
          <w:rFonts w:eastAsia="Batang" w:cs="Times New Roman"/>
          <w:kern w:val="0"/>
          <w:sz w:val="22"/>
          <w:szCs w:val="22"/>
        </w:rPr>
        <w:t>”).</w:t>
      </w:r>
    </w:p>
    <w:p w14:paraId="5E214ADF" w14:textId="77777777" w:rsidR="00252B4A" w:rsidRPr="00651EBD" w:rsidRDefault="00252B4A" w:rsidP="00252B4A">
      <w:pPr>
        <w:pStyle w:val="BodyText"/>
        <w:rPr>
          <w:sz w:val="22"/>
          <w:szCs w:val="22"/>
        </w:rPr>
      </w:pPr>
    </w:p>
    <w:p w14:paraId="3E423C5B" w14:textId="217F8E00" w:rsidR="00252B4A" w:rsidRDefault="00252B4A" w:rsidP="00252B4A">
      <w:pPr>
        <w:pStyle w:val="BodyTextFirstIndent2"/>
        <w:ind w:left="0" w:firstLine="0"/>
        <w:rPr>
          <w:b/>
          <w:sz w:val="22"/>
          <w:szCs w:val="22"/>
        </w:rPr>
      </w:pPr>
      <w:r w:rsidRPr="00651EBD">
        <w:rPr>
          <w:b/>
          <w:sz w:val="22"/>
          <w:szCs w:val="22"/>
        </w:rPr>
        <w:t>Revised Section 2.9(a</w:t>
      </w:r>
      <w:proofErr w:type="gramStart"/>
      <w:r w:rsidRPr="00651EBD">
        <w:rPr>
          <w:b/>
          <w:sz w:val="22"/>
          <w:szCs w:val="22"/>
        </w:rPr>
        <w:t>)(</w:t>
      </w:r>
      <w:proofErr w:type="spellStart"/>
      <w:proofErr w:type="gramEnd"/>
      <w:r w:rsidRPr="00651EBD">
        <w:rPr>
          <w:b/>
          <w:sz w:val="22"/>
          <w:szCs w:val="22"/>
        </w:rPr>
        <w:t>i</w:t>
      </w:r>
      <w:proofErr w:type="spellEnd"/>
      <w:r w:rsidRPr="00651EBD">
        <w:rPr>
          <w:b/>
          <w:sz w:val="22"/>
          <w:szCs w:val="22"/>
        </w:rPr>
        <w:t xml:space="preserve">) (additions in </w:t>
      </w:r>
      <w:r w:rsidRPr="00651EBD">
        <w:rPr>
          <w:b/>
          <w:sz w:val="22"/>
          <w:szCs w:val="22"/>
          <w:highlight w:val="cyan"/>
        </w:rPr>
        <w:t>blue</w:t>
      </w:r>
      <w:r w:rsidRPr="00651EBD">
        <w:rPr>
          <w:b/>
          <w:sz w:val="22"/>
          <w:szCs w:val="22"/>
        </w:rPr>
        <w:t>):</w:t>
      </w:r>
    </w:p>
    <w:p w14:paraId="3577614E" w14:textId="77777777" w:rsidR="004B0EC1" w:rsidRPr="00651EBD" w:rsidRDefault="004B0EC1" w:rsidP="00252B4A">
      <w:pPr>
        <w:pStyle w:val="BodyTextFirstIndent2"/>
        <w:ind w:left="0" w:firstLine="0"/>
        <w:rPr>
          <w:b/>
          <w:sz w:val="22"/>
          <w:szCs w:val="22"/>
        </w:rPr>
      </w:pPr>
    </w:p>
    <w:p w14:paraId="0E1245C1" w14:textId="77777777" w:rsidR="00252B4A" w:rsidRPr="00651EBD" w:rsidRDefault="00252B4A" w:rsidP="00252B4A">
      <w:pPr>
        <w:pStyle w:val="Heading3"/>
        <w:numPr>
          <w:ilvl w:val="0"/>
          <w:numId w:val="0"/>
        </w:numPr>
        <w:ind w:firstLine="1440"/>
        <w:rPr>
          <w:rFonts w:cs="Times New Roman"/>
          <w:sz w:val="22"/>
          <w:szCs w:val="22"/>
        </w:rPr>
      </w:pPr>
      <w:r w:rsidRPr="00651EBD">
        <w:rPr>
          <w:rFonts w:cs="Times New Roman"/>
          <w:sz w:val="22"/>
          <w:szCs w:val="22"/>
        </w:rPr>
        <w:t>(a) If any Change in Law shall:</w:t>
      </w:r>
    </w:p>
    <w:p w14:paraId="6E0AB6A8" w14:textId="77777777" w:rsidR="00252B4A" w:rsidRPr="00651EBD" w:rsidRDefault="00252B4A" w:rsidP="00252B4A">
      <w:pPr>
        <w:pStyle w:val="Heading4"/>
        <w:rPr>
          <w:b/>
          <w:sz w:val="22"/>
          <w:szCs w:val="22"/>
        </w:rPr>
      </w:pPr>
      <w:r w:rsidRPr="00651EBD">
        <w:rPr>
          <w:sz w:val="22"/>
          <w:szCs w:val="22"/>
        </w:rPr>
        <w:t xml:space="preserve">impose, modify or deem applicable any reserve, special deposit or similar requirement that is not otherwise included in the determination of the </w:t>
      </w:r>
      <w:r w:rsidRPr="00651EBD">
        <w:rPr>
          <w:rFonts w:eastAsia="Batang"/>
          <w:b/>
          <w:color w:val="000000"/>
          <w:w w:val="0"/>
          <w:sz w:val="22"/>
          <w:szCs w:val="22"/>
        </w:rPr>
        <w:t>[Adjusted LIBOR Rate]</w:t>
      </w:r>
      <w:r w:rsidRPr="00651EBD">
        <w:rPr>
          <w:rFonts w:eastAsia="Batang"/>
          <w:color w:val="000000"/>
          <w:w w:val="0"/>
          <w:sz w:val="22"/>
          <w:szCs w:val="22"/>
        </w:rPr>
        <w:t xml:space="preserve"> </w:t>
      </w:r>
      <w:r w:rsidRPr="00651EBD">
        <w:rPr>
          <w:rFonts w:eastAsia="Batang"/>
          <w:b/>
          <w:color w:val="000000"/>
          <w:w w:val="0"/>
          <w:sz w:val="22"/>
          <w:szCs w:val="22"/>
        </w:rPr>
        <w:t>[</w:t>
      </w:r>
      <w:r w:rsidRPr="00651EBD">
        <w:rPr>
          <w:b/>
          <w:sz w:val="22"/>
          <w:szCs w:val="22"/>
        </w:rPr>
        <w:t>LIBOR Index Rate]</w:t>
      </w:r>
      <w:r w:rsidRPr="00651EBD">
        <w:rPr>
          <w:sz w:val="22"/>
          <w:szCs w:val="22"/>
        </w:rPr>
        <w:t xml:space="preserve"> </w:t>
      </w:r>
      <w:r w:rsidRPr="00651EBD">
        <w:rPr>
          <w:sz w:val="22"/>
          <w:szCs w:val="22"/>
          <w:highlight w:val="cyan"/>
        </w:rPr>
        <w:t>or the Replacement Rate hereunder</w:t>
      </w:r>
      <w:r w:rsidRPr="00651EBD">
        <w:rPr>
          <w:sz w:val="22"/>
          <w:szCs w:val="22"/>
        </w:rPr>
        <w:t xml:space="preserve"> against assets of, deposits with or for the account of, or credit extended by, Lender (except any such reserve requirement reflected in the </w:t>
      </w:r>
      <w:r w:rsidRPr="00651EBD">
        <w:rPr>
          <w:rFonts w:eastAsia="Batang"/>
          <w:b/>
          <w:color w:val="000000"/>
          <w:w w:val="0"/>
          <w:sz w:val="22"/>
          <w:szCs w:val="22"/>
        </w:rPr>
        <w:t>[Adjusted LIBOR Rate]</w:t>
      </w:r>
      <w:r w:rsidRPr="00651EBD">
        <w:rPr>
          <w:rFonts w:eastAsia="Batang"/>
          <w:color w:val="000000"/>
          <w:w w:val="0"/>
          <w:sz w:val="22"/>
          <w:szCs w:val="22"/>
        </w:rPr>
        <w:t xml:space="preserve"> </w:t>
      </w:r>
      <w:r w:rsidRPr="00651EBD">
        <w:rPr>
          <w:rFonts w:eastAsia="Batang"/>
          <w:b/>
          <w:color w:val="000000"/>
          <w:w w:val="0"/>
          <w:sz w:val="22"/>
          <w:szCs w:val="22"/>
        </w:rPr>
        <w:t>[</w:t>
      </w:r>
      <w:r w:rsidRPr="00651EBD">
        <w:rPr>
          <w:b/>
          <w:sz w:val="22"/>
          <w:szCs w:val="22"/>
        </w:rPr>
        <w:t xml:space="preserve">LIBOR Index Rate] </w:t>
      </w:r>
      <w:r w:rsidRPr="00651EBD">
        <w:rPr>
          <w:sz w:val="22"/>
          <w:szCs w:val="22"/>
          <w:highlight w:val="cyan"/>
        </w:rPr>
        <w:t>or the Replacement Rate</w:t>
      </w:r>
      <w:r w:rsidRPr="00651EBD">
        <w:rPr>
          <w:b/>
          <w:sz w:val="22"/>
          <w:szCs w:val="22"/>
          <w:highlight w:val="cyan"/>
        </w:rPr>
        <w:t>)</w:t>
      </w:r>
      <w:r w:rsidRPr="00651EBD">
        <w:rPr>
          <w:sz w:val="22"/>
          <w:szCs w:val="22"/>
        </w:rPr>
        <w:t>; or</w:t>
      </w:r>
      <w:r w:rsidRPr="00651EBD">
        <w:rPr>
          <w:b/>
          <w:sz w:val="22"/>
          <w:szCs w:val="22"/>
        </w:rPr>
        <w:t xml:space="preserve"> </w:t>
      </w:r>
    </w:p>
    <w:p w14:paraId="2C0E380E" w14:textId="77777777" w:rsidR="00252B4A" w:rsidRPr="00651EBD" w:rsidRDefault="00252B4A" w:rsidP="00252B4A">
      <w:pPr>
        <w:rPr>
          <w:sz w:val="22"/>
          <w:szCs w:val="22"/>
        </w:rPr>
      </w:pPr>
    </w:p>
    <w:p w14:paraId="38892FA7" w14:textId="0E26FC35" w:rsidR="00252B4A" w:rsidRDefault="00252B4A" w:rsidP="00252B4A">
      <w:pPr>
        <w:rPr>
          <w:b/>
          <w:sz w:val="22"/>
          <w:szCs w:val="22"/>
        </w:rPr>
      </w:pPr>
      <w:r w:rsidRPr="00651EBD">
        <w:rPr>
          <w:b/>
          <w:sz w:val="22"/>
          <w:szCs w:val="22"/>
        </w:rPr>
        <w:t xml:space="preserve">Revised Section 2.13 (additions in </w:t>
      </w:r>
      <w:r w:rsidRPr="00651EBD">
        <w:rPr>
          <w:b/>
          <w:sz w:val="22"/>
          <w:szCs w:val="22"/>
          <w:highlight w:val="cyan"/>
        </w:rPr>
        <w:t>blue</w:t>
      </w:r>
      <w:r w:rsidRPr="00651EBD">
        <w:rPr>
          <w:b/>
          <w:sz w:val="22"/>
          <w:szCs w:val="22"/>
        </w:rPr>
        <w:t>):</w:t>
      </w:r>
    </w:p>
    <w:p w14:paraId="08A63F6B" w14:textId="77777777" w:rsidR="004B0EC1" w:rsidRPr="00651EBD" w:rsidRDefault="004B0EC1" w:rsidP="00252B4A">
      <w:pPr>
        <w:rPr>
          <w:b/>
          <w:sz w:val="22"/>
          <w:szCs w:val="22"/>
        </w:rPr>
      </w:pPr>
    </w:p>
    <w:p w14:paraId="01F5E6D9" w14:textId="77777777" w:rsidR="00252B4A" w:rsidRPr="00651EBD" w:rsidRDefault="00252B4A" w:rsidP="00252B4A">
      <w:pPr>
        <w:pStyle w:val="Heading2"/>
        <w:numPr>
          <w:ilvl w:val="0"/>
          <w:numId w:val="0"/>
        </w:numPr>
        <w:ind w:left="900" w:firstLine="1440"/>
        <w:rPr>
          <w:rFonts w:ascii="Times New Roman" w:hAnsi="Times New Roman" w:cs="Times New Roman"/>
          <w:vanish/>
          <w:sz w:val="22"/>
          <w:szCs w:val="22"/>
          <w:specVanish/>
        </w:rPr>
      </w:pPr>
      <w:bookmarkStart w:id="11" w:name="_Toc517884505"/>
      <w:r w:rsidRPr="00651EBD">
        <w:rPr>
          <w:rFonts w:ascii="Times New Roman" w:hAnsi="Times New Roman" w:cs="Times New Roman"/>
          <w:sz w:val="22"/>
          <w:szCs w:val="22"/>
        </w:rPr>
        <w:t>Funding Indemnity</w:t>
      </w:r>
      <w:bookmarkEnd w:id="11"/>
    </w:p>
    <w:p w14:paraId="51A5C9C1" w14:textId="17B70B60" w:rsidR="00252B4A" w:rsidRDefault="00252B4A" w:rsidP="00252B4A">
      <w:pPr>
        <w:pStyle w:val="Para2"/>
        <w:rPr>
          <w:sz w:val="22"/>
          <w:szCs w:val="22"/>
        </w:rPr>
      </w:pPr>
      <w:r w:rsidRPr="00651EBD">
        <w:rPr>
          <w:b/>
          <w:iCs/>
          <w:sz w:val="22"/>
          <w:szCs w:val="22"/>
        </w:rPr>
        <w:t>.</w:t>
      </w:r>
      <w:r w:rsidRPr="00651EBD">
        <w:rPr>
          <w:sz w:val="22"/>
          <w:szCs w:val="22"/>
        </w:rPr>
        <w:t xml:space="preserve">  In the event of any (a) payment of any principal of any portion of the Loan other than on the last day of the Interest Period applicable thereto (including as a result of an Event of Default) or (b) the failure by Borrower to borrow or prepay any portion of the Loan on the date specified in any applicable notice (regardless of whether such notice is withdrawn or revoked) then, in any such event, Borrower shall compensate Lender, within five (5) Business Days after written demand from Lender, for any loss, cost or expense attributable to such event.  Such loss, cost or expense shall be deemed to include an amount determined by Lender to be the excess, if any, of (A) the amount of interest that would have accrued on the principal amount of such portion of the Loan if such event had not occurred at the </w:t>
      </w:r>
      <w:r w:rsidRPr="00651EBD">
        <w:rPr>
          <w:b/>
          <w:sz w:val="22"/>
          <w:szCs w:val="22"/>
        </w:rPr>
        <w:t>[LIBOR Index Rate] [</w:t>
      </w:r>
      <w:r w:rsidRPr="00651EBD">
        <w:rPr>
          <w:rFonts w:eastAsia="Batang"/>
          <w:b/>
          <w:color w:val="000000"/>
          <w:w w:val="0"/>
          <w:sz w:val="22"/>
          <w:szCs w:val="22"/>
        </w:rPr>
        <w:t xml:space="preserve">Adjusted LIBOR Rate] </w:t>
      </w:r>
      <w:r w:rsidRPr="00651EBD">
        <w:rPr>
          <w:rFonts w:eastAsia="Batang"/>
          <w:color w:val="000000"/>
          <w:w w:val="0"/>
          <w:sz w:val="22"/>
          <w:szCs w:val="22"/>
          <w:highlight w:val="cyan"/>
        </w:rPr>
        <w:t>or the Replacement Rate</w:t>
      </w:r>
      <w:r w:rsidRPr="00651EBD">
        <w:rPr>
          <w:rFonts w:eastAsia="Batang"/>
          <w:b/>
          <w:color w:val="000000"/>
          <w:w w:val="0"/>
          <w:sz w:val="22"/>
          <w:szCs w:val="22"/>
        </w:rPr>
        <w:t xml:space="preserve"> </w:t>
      </w:r>
      <w:r w:rsidRPr="00651EBD">
        <w:rPr>
          <w:sz w:val="22"/>
          <w:szCs w:val="22"/>
        </w:rPr>
        <w:t xml:space="preserve">applicable to the Loan for the period from the date of such event to the last day of the then current Interest Period therefor (or in the case of a failure to borrow for the period that would have been the Interest Period for such portion of the Loan) over </w:t>
      </w:r>
      <w:r w:rsidRPr="00651EBD">
        <w:rPr>
          <w:sz w:val="22"/>
          <w:szCs w:val="22"/>
        </w:rPr>
        <w:lastRenderedPageBreak/>
        <w:t xml:space="preserve">(B) the amount of interest that would accrue on the principal amount of such portion of the Loan for the same period if the </w:t>
      </w:r>
      <w:r w:rsidRPr="00651EBD">
        <w:rPr>
          <w:b/>
          <w:sz w:val="22"/>
          <w:szCs w:val="22"/>
        </w:rPr>
        <w:t>[LIBOR Index Rate] [</w:t>
      </w:r>
      <w:r w:rsidRPr="00651EBD">
        <w:rPr>
          <w:rFonts w:eastAsia="Batang"/>
          <w:b/>
          <w:color w:val="000000"/>
          <w:w w:val="0"/>
          <w:sz w:val="22"/>
          <w:szCs w:val="22"/>
        </w:rPr>
        <w:t>Adjusted LIBOR Rate]</w:t>
      </w:r>
      <w:r w:rsidRPr="00651EBD">
        <w:rPr>
          <w:rFonts w:eastAsia="Batang"/>
          <w:color w:val="000000"/>
          <w:w w:val="0"/>
          <w:sz w:val="22"/>
          <w:szCs w:val="22"/>
        </w:rPr>
        <w:t xml:space="preserve"> </w:t>
      </w:r>
      <w:r w:rsidRPr="00651EBD">
        <w:rPr>
          <w:rFonts w:eastAsia="Batang"/>
          <w:color w:val="000000"/>
          <w:w w:val="0"/>
          <w:sz w:val="22"/>
          <w:szCs w:val="22"/>
          <w:highlight w:val="cyan"/>
        </w:rPr>
        <w:t>or the Replacement Rate, as applicable,</w:t>
      </w:r>
      <w:r w:rsidRPr="00651EBD">
        <w:rPr>
          <w:rFonts w:eastAsia="Batang"/>
          <w:color w:val="000000"/>
          <w:w w:val="0"/>
          <w:sz w:val="22"/>
          <w:szCs w:val="22"/>
        </w:rPr>
        <w:t xml:space="preserve"> </w:t>
      </w:r>
      <w:r w:rsidRPr="00651EBD">
        <w:rPr>
          <w:sz w:val="22"/>
          <w:szCs w:val="22"/>
        </w:rPr>
        <w:t xml:space="preserve">were set on the date such portion of the Loan was prepaid or the date on which Borrower failed to borrow such portion of the Loan.   A certificate as to any additional amount payable under this </w:t>
      </w:r>
      <w:r w:rsidRPr="00651EBD">
        <w:rPr>
          <w:sz w:val="22"/>
          <w:szCs w:val="22"/>
          <w:u w:val="single"/>
        </w:rPr>
        <w:t>Section 2.13</w:t>
      </w:r>
      <w:r w:rsidRPr="00651EBD">
        <w:rPr>
          <w:sz w:val="22"/>
          <w:szCs w:val="22"/>
        </w:rPr>
        <w:t xml:space="preserve"> submitted to Borrower by Lender shall be conclusive, absent manifest error. </w:t>
      </w:r>
    </w:p>
    <w:p w14:paraId="643C2323" w14:textId="0CFDE776" w:rsidR="00953056" w:rsidRDefault="00953056" w:rsidP="00953056">
      <w:pPr>
        <w:pStyle w:val="Heading2"/>
        <w:numPr>
          <w:ilvl w:val="0"/>
          <w:numId w:val="0"/>
        </w:numPr>
        <w:ind w:left="540" w:firstLine="1440"/>
      </w:pPr>
    </w:p>
    <w:p w14:paraId="03A5464E" w14:textId="167D9B45" w:rsidR="00953056" w:rsidRPr="00953056" w:rsidRDefault="00953056" w:rsidP="00953056">
      <w:pPr>
        <w:pStyle w:val="BodyText"/>
      </w:pPr>
      <w:r>
        <w:softHyphen/>
      </w:r>
      <w:r>
        <w:softHyphen/>
      </w:r>
      <w:r>
        <w:softHyphen/>
      </w:r>
      <w:r>
        <w:softHyphen/>
      </w:r>
      <w:r>
        <w:softHyphen/>
      </w:r>
      <w:r>
        <w:softHyphen/>
      </w:r>
      <w:r>
        <w:softHyphen/>
        <w:t>_______________________________________________________________________________________</w:t>
      </w:r>
    </w:p>
    <w:p w14:paraId="6039D06C" w14:textId="77777777" w:rsidR="00252B4A" w:rsidRPr="00651EBD" w:rsidRDefault="00252B4A" w:rsidP="00252B4A">
      <w:pPr>
        <w:rPr>
          <w:b/>
          <w:sz w:val="22"/>
          <w:szCs w:val="22"/>
        </w:rPr>
      </w:pPr>
    </w:p>
    <w:p w14:paraId="55D7A7D0" w14:textId="2F76D870" w:rsidR="00252B4A" w:rsidRDefault="00252B4A" w:rsidP="00B91A00">
      <w:pPr>
        <w:pStyle w:val="BodyText"/>
        <w:spacing w:after="220"/>
        <w:jc w:val="center"/>
        <w:rPr>
          <w:sz w:val="22"/>
          <w:szCs w:val="22"/>
        </w:rPr>
      </w:pPr>
    </w:p>
    <w:p w14:paraId="17443D88" w14:textId="03065EFB" w:rsidR="00A55CC6" w:rsidRDefault="00A55CC6" w:rsidP="00A55CC6">
      <w:pPr>
        <w:pStyle w:val="BodyText"/>
        <w:spacing w:after="220"/>
        <w:jc w:val="center"/>
        <w:rPr>
          <w:sz w:val="22"/>
          <w:szCs w:val="22"/>
        </w:rPr>
      </w:pPr>
      <w:r>
        <w:rPr>
          <w:sz w:val="22"/>
          <w:szCs w:val="22"/>
        </w:rPr>
        <w:t>LIBOR Replacement Provisions for Syndicated CRE Loan Agreements</w:t>
      </w:r>
    </w:p>
    <w:p w14:paraId="7D5A0C96" w14:textId="77777777" w:rsidR="00A55CC6" w:rsidRPr="00651EBD" w:rsidRDefault="00A55CC6" w:rsidP="00B91A00">
      <w:pPr>
        <w:pStyle w:val="BodyText"/>
        <w:spacing w:after="220"/>
        <w:jc w:val="center"/>
        <w:rPr>
          <w:sz w:val="22"/>
          <w:szCs w:val="22"/>
        </w:rPr>
      </w:pPr>
    </w:p>
    <w:p w14:paraId="0B22C40C" w14:textId="3CA09A9F" w:rsidR="005B380F" w:rsidRPr="00F242FF" w:rsidRDefault="005B380F" w:rsidP="005B380F">
      <w:pPr>
        <w:pStyle w:val="Heading2"/>
        <w:numPr>
          <w:ilvl w:val="0"/>
          <w:numId w:val="0"/>
        </w:numPr>
        <w:ind w:left="720"/>
        <w:rPr>
          <w:rFonts w:ascii="Times New Roman" w:hAnsi="Times New Roman" w:cs="Times New Roman"/>
          <w:i/>
          <w:color w:val="C00000"/>
          <w:kern w:val="0"/>
          <w:sz w:val="22"/>
          <w:szCs w:val="22"/>
          <w:u w:val="none"/>
        </w:rPr>
      </w:pPr>
      <w:r>
        <w:rPr>
          <w:rFonts w:ascii="Times New Roman" w:hAnsi="Times New Roman" w:cs="Times New Roman"/>
          <w:i/>
          <w:color w:val="C00000"/>
          <w:kern w:val="0"/>
          <w:sz w:val="22"/>
          <w:szCs w:val="22"/>
          <w:u w:val="none"/>
        </w:rPr>
        <w:t>Revised Section 2.7</w:t>
      </w:r>
      <w:r w:rsidRPr="00F242FF">
        <w:rPr>
          <w:rFonts w:ascii="Times New Roman" w:hAnsi="Times New Roman" w:cs="Times New Roman"/>
          <w:i/>
          <w:color w:val="C00000"/>
          <w:kern w:val="0"/>
          <w:sz w:val="22"/>
          <w:szCs w:val="22"/>
          <w:u w:val="none"/>
        </w:rPr>
        <w:t>:</w:t>
      </w:r>
    </w:p>
    <w:p w14:paraId="4FC7BE8D" w14:textId="77777777" w:rsidR="005B380F" w:rsidRPr="006837FB" w:rsidRDefault="005B380F" w:rsidP="005B380F">
      <w:pPr>
        <w:pStyle w:val="Heading2"/>
        <w:numPr>
          <w:ilvl w:val="0"/>
          <w:numId w:val="0"/>
        </w:numPr>
        <w:ind w:left="2340" w:hanging="1620"/>
        <w:rPr>
          <w:rFonts w:ascii="Times New Roman" w:hAnsi="Times New Roman" w:cs="Times New Roman"/>
          <w:kern w:val="0"/>
          <w:sz w:val="22"/>
          <w:szCs w:val="22"/>
          <w:u w:val="none"/>
        </w:rPr>
      </w:pPr>
      <w:proofErr w:type="gramStart"/>
      <w:r w:rsidRPr="006837FB">
        <w:rPr>
          <w:rFonts w:ascii="Times New Roman" w:hAnsi="Times New Roman" w:cs="Times New Roman"/>
          <w:kern w:val="0"/>
          <w:sz w:val="22"/>
          <w:szCs w:val="22"/>
          <w:u w:val="none"/>
        </w:rPr>
        <w:t xml:space="preserve">Section 2.7   </w:t>
      </w:r>
      <w:r w:rsidRPr="006837FB">
        <w:rPr>
          <w:rFonts w:ascii="Times New Roman" w:hAnsi="Times New Roman" w:cs="Times New Roman"/>
          <w:kern w:val="0"/>
          <w:sz w:val="22"/>
          <w:szCs w:val="22"/>
        </w:rPr>
        <w:t>Inability to Determine Interest Rates.</w:t>
      </w:r>
      <w:proofErr w:type="gramEnd"/>
    </w:p>
    <w:p w14:paraId="3CE6036C" w14:textId="77777777" w:rsidR="005B380F" w:rsidRPr="00852082" w:rsidRDefault="005B380F" w:rsidP="00604452">
      <w:pPr>
        <w:pStyle w:val="Para2"/>
        <w:ind w:firstLine="720"/>
        <w:rPr>
          <w:sz w:val="22"/>
          <w:szCs w:val="22"/>
        </w:rPr>
      </w:pPr>
      <w:r w:rsidRPr="006837FB">
        <w:rPr>
          <w:sz w:val="22"/>
          <w:szCs w:val="22"/>
        </w:rPr>
        <w:t xml:space="preserve">(a) If at any time, </w:t>
      </w:r>
      <w:r w:rsidRPr="00CF2A1F">
        <w:rPr>
          <w:sz w:val="22"/>
          <w:szCs w:val="22"/>
        </w:rPr>
        <w:t>Administrative Agent shall have</w:t>
      </w:r>
      <w:r>
        <w:rPr>
          <w:sz w:val="22"/>
          <w:szCs w:val="22"/>
        </w:rPr>
        <w:t xml:space="preserve"> (</w:t>
      </w:r>
      <w:proofErr w:type="spellStart"/>
      <w:r>
        <w:rPr>
          <w:sz w:val="22"/>
          <w:szCs w:val="22"/>
        </w:rPr>
        <w:t>i</w:t>
      </w:r>
      <w:proofErr w:type="spellEnd"/>
      <w:r>
        <w:rPr>
          <w:sz w:val="22"/>
          <w:szCs w:val="22"/>
        </w:rPr>
        <w:t>)</w:t>
      </w:r>
      <w:r w:rsidRPr="00CF2A1F">
        <w:rPr>
          <w:sz w:val="22"/>
          <w:szCs w:val="22"/>
        </w:rPr>
        <w:t xml:space="preserve"> determined (which determination shall be conclusive and binding upon Borrower</w:t>
      </w:r>
      <w:r w:rsidRPr="00CF2A1F">
        <w:rPr>
          <w:b/>
          <w:sz w:val="22"/>
          <w:szCs w:val="22"/>
        </w:rPr>
        <w:t>)</w:t>
      </w:r>
      <w:r>
        <w:rPr>
          <w:sz w:val="22"/>
          <w:szCs w:val="22"/>
        </w:rPr>
        <w:t xml:space="preserve"> that</w:t>
      </w:r>
      <w:r w:rsidRPr="00CF2A1F">
        <w:rPr>
          <w:sz w:val="22"/>
          <w:szCs w:val="22"/>
        </w:rPr>
        <w:t xml:space="preserve"> by reason of circumstances affecting the relevant interbank market, adequate means do not exist for ascertaining the </w:t>
      </w:r>
      <w:r w:rsidRPr="001679F8">
        <w:rPr>
          <w:rFonts w:eastAsia="Batang"/>
          <w:b/>
          <w:color w:val="000000"/>
          <w:w w:val="0"/>
          <w:sz w:val="22"/>
          <w:szCs w:val="22"/>
        </w:rPr>
        <w:t>[Adjusted LIBOR Rate]</w:t>
      </w:r>
      <w:r w:rsidRPr="001679F8">
        <w:rPr>
          <w:rFonts w:eastAsia="Batang"/>
          <w:color w:val="000000"/>
          <w:w w:val="0"/>
          <w:sz w:val="22"/>
          <w:szCs w:val="22"/>
        </w:rPr>
        <w:t xml:space="preserve"> </w:t>
      </w:r>
      <w:r w:rsidRPr="001679F8">
        <w:rPr>
          <w:rFonts w:eastAsia="Batang"/>
          <w:b/>
          <w:color w:val="000000"/>
          <w:w w:val="0"/>
          <w:sz w:val="22"/>
          <w:szCs w:val="22"/>
        </w:rPr>
        <w:t>[</w:t>
      </w:r>
      <w:r w:rsidRPr="001679F8">
        <w:rPr>
          <w:b/>
          <w:sz w:val="22"/>
          <w:szCs w:val="22"/>
        </w:rPr>
        <w:t>LIBOR Index Rate]</w:t>
      </w:r>
      <w:r>
        <w:rPr>
          <w:rFonts w:eastAsia="Batang"/>
          <w:color w:val="000000"/>
          <w:sz w:val="22"/>
          <w:szCs w:val="22"/>
        </w:rPr>
        <w:t xml:space="preserve"> </w:t>
      </w:r>
      <w:r w:rsidRPr="00024281">
        <w:rPr>
          <w:rFonts w:eastAsia="Batang"/>
          <w:color w:val="000000" w:themeColor="text1"/>
          <w:kern w:val="24"/>
          <w:sz w:val="22"/>
        </w:rPr>
        <w:t>(including, without limitation, because the Screen Rate is not available or published on a current basis)</w:t>
      </w:r>
      <w:r w:rsidRPr="00024281">
        <w:rPr>
          <w:rFonts w:eastAsia="Batang"/>
          <w:color w:val="000000" w:themeColor="text1"/>
          <w:sz w:val="22"/>
          <w:szCs w:val="22"/>
        </w:rPr>
        <w:t xml:space="preserve"> </w:t>
      </w:r>
      <w:r w:rsidRPr="00A7494D">
        <w:rPr>
          <w:rFonts w:eastAsia="Batang"/>
          <w:color w:val="000000"/>
          <w:sz w:val="22"/>
          <w:szCs w:val="22"/>
        </w:rPr>
        <w:t>and such circumsta</w:t>
      </w:r>
      <w:r>
        <w:rPr>
          <w:rFonts w:eastAsia="Batang"/>
          <w:color w:val="000000"/>
          <w:sz w:val="22"/>
          <w:szCs w:val="22"/>
        </w:rPr>
        <w:t>nces are likely to be temporary</w:t>
      </w:r>
      <w:r w:rsidRPr="00CF2A1F">
        <w:rPr>
          <w:sz w:val="22"/>
          <w:szCs w:val="22"/>
        </w:rPr>
        <w:t>, or (ii) received notice fr</w:t>
      </w:r>
      <w:r>
        <w:rPr>
          <w:sz w:val="22"/>
          <w:szCs w:val="22"/>
        </w:rPr>
        <w:t xml:space="preserve">om the Required Lenders that </w:t>
      </w:r>
      <w:r w:rsidRPr="006837FB">
        <w:rPr>
          <w:sz w:val="22"/>
          <w:szCs w:val="22"/>
        </w:rPr>
        <w:t xml:space="preserve">the </w:t>
      </w:r>
      <w:r w:rsidRPr="001679F8">
        <w:rPr>
          <w:rFonts w:eastAsia="Batang"/>
          <w:b/>
          <w:color w:val="000000"/>
          <w:w w:val="0"/>
          <w:sz w:val="22"/>
          <w:szCs w:val="22"/>
        </w:rPr>
        <w:t>[Adjusted LIBOR Rate]</w:t>
      </w:r>
      <w:r w:rsidRPr="001679F8">
        <w:rPr>
          <w:rFonts w:eastAsia="Batang"/>
          <w:color w:val="000000"/>
          <w:w w:val="0"/>
          <w:sz w:val="22"/>
          <w:szCs w:val="22"/>
        </w:rPr>
        <w:t xml:space="preserve"> </w:t>
      </w:r>
      <w:r w:rsidRPr="001679F8">
        <w:rPr>
          <w:rFonts w:eastAsia="Batang"/>
          <w:b/>
          <w:color w:val="000000"/>
          <w:w w:val="0"/>
          <w:sz w:val="22"/>
          <w:szCs w:val="22"/>
        </w:rPr>
        <w:t>[</w:t>
      </w:r>
      <w:r w:rsidRPr="001679F8">
        <w:rPr>
          <w:b/>
          <w:sz w:val="22"/>
          <w:szCs w:val="22"/>
        </w:rPr>
        <w:t>LIBOR Index Rate]</w:t>
      </w:r>
      <w:r w:rsidRPr="006837FB">
        <w:rPr>
          <w:rFonts w:eastAsia="Batang"/>
          <w:color w:val="000000"/>
          <w:sz w:val="22"/>
          <w:szCs w:val="22"/>
        </w:rPr>
        <w:t xml:space="preserve"> </w:t>
      </w:r>
      <w:r w:rsidRPr="006837FB">
        <w:rPr>
          <w:sz w:val="22"/>
          <w:szCs w:val="22"/>
        </w:rPr>
        <w:t>does not adequately and fairly reflect the cost to</w:t>
      </w:r>
      <w:r>
        <w:rPr>
          <w:sz w:val="22"/>
          <w:szCs w:val="22"/>
        </w:rPr>
        <w:t xml:space="preserve"> such</w:t>
      </w:r>
      <w:r w:rsidRPr="006837FB">
        <w:rPr>
          <w:sz w:val="22"/>
          <w:szCs w:val="22"/>
        </w:rPr>
        <w:t xml:space="preserve"> Lender</w:t>
      </w:r>
      <w:r>
        <w:rPr>
          <w:sz w:val="22"/>
          <w:szCs w:val="22"/>
        </w:rPr>
        <w:t>s</w:t>
      </w:r>
      <w:r w:rsidRPr="006837FB">
        <w:rPr>
          <w:sz w:val="22"/>
          <w:szCs w:val="22"/>
        </w:rPr>
        <w:t xml:space="preserve"> of making, funding or maintaining the  Loan, </w:t>
      </w:r>
      <w:r>
        <w:rPr>
          <w:sz w:val="22"/>
          <w:szCs w:val="22"/>
        </w:rPr>
        <w:t>then Administrative Agent</w:t>
      </w:r>
      <w:r w:rsidRPr="006837FB">
        <w:rPr>
          <w:sz w:val="22"/>
          <w:szCs w:val="22"/>
        </w:rPr>
        <w:t xml:space="preserve"> shall give written notice</w:t>
      </w:r>
      <w:r>
        <w:rPr>
          <w:sz w:val="22"/>
          <w:szCs w:val="22"/>
        </w:rPr>
        <w:t xml:space="preserve"> thereof</w:t>
      </w:r>
      <w:r w:rsidRPr="006837FB">
        <w:rPr>
          <w:sz w:val="22"/>
          <w:szCs w:val="22"/>
        </w:rPr>
        <w:t xml:space="preserve"> (or telephonic notice, promptly confirmed in writing) to Borrower</w:t>
      </w:r>
      <w:r>
        <w:rPr>
          <w:sz w:val="22"/>
          <w:szCs w:val="22"/>
        </w:rPr>
        <w:t xml:space="preserve"> and the Lenders</w:t>
      </w:r>
      <w:r w:rsidRPr="006837FB">
        <w:rPr>
          <w:sz w:val="22"/>
          <w:szCs w:val="22"/>
        </w:rPr>
        <w:t xml:space="preserve"> as soon as practicable thereafter. Until </w:t>
      </w:r>
      <w:r>
        <w:rPr>
          <w:sz w:val="22"/>
          <w:szCs w:val="22"/>
        </w:rPr>
        <w:t>Administrative Agent</w:t>
      </w:r>
      <w:r w:rsidRPr="006837FB">
        <w:rPr>
          <w:sz w:val="22"/>
          <w:szCs w:val="22"/>
        </w:rPr>
        <w:t xml:space="preserve"> notifies Borrower</w:t>
      </w:r>
      <w:r>
        <w:rPr>
          <w:sz w:val="22"/>
          <w:szCs w:val="22"/>
        </w:rPr>
        <w:t xml:space="preserve"> and the Lenders</w:t>
      </w:r>
      <w:r w:rsidRPr="006837FB">
        <w:rPr>
          <w:sz w:val="22"/>
          <w:szCs w:val="22"/>
        </w:rPr>
        <w:t xml:space="preserve"> that the circumstances giving rise to such notice no longer exist, the Loan shall be converted to a Loan bearing interest at the Base Rate</w:t>
      </w:r>
      <w:r w:rsidRPr="006837FB">
        <w:rPr>
          <w:b/>
          <w:sz w:val="22"/>
          <w:szCs w:val="22"/>
        </w:rPr>
        <w:t xml:space="preserve">. </w:t>
      </w:r>
    </w:p>
    <w:p w14:paraId="5F1E2072" w14:textId="393355D5" w:rsidR="005B380F" w:rsidRPr="00F242FF" w:rsidRDefault="005B380F" w:rsidP="005B380F">
      <w:pPr>
        <w:pStyle w:val="Para2"/>
        <w:rPr>
          <w:b/>
          <w:sz w:val="22"/>
          <w:szCs w:val="22"/>
        </w:rPr>
      </w:pPr>
      <w:r w:rsidRPr="006837FB">
        <w:rPr>
          <w:b/>
          <w:i/>
          <w:color w:val="C00000"/>
          <w:sz w:val="22"/>
          <w:szCs w:val="22"/>
        </w:rPr>
        <w:t xml:space="preserve">New provisions for permanent LIBOR discontinuation – </w:t>
      </w:r>
    </w:p>
    <w:p w14:paraId="21CFA9EE" w14:textId="0167EBF1" w:rsidR="005B380F" w:rsidRPr="009B30B2" w:rsidRDefault="005B380F" w:rsidP="005B380F">
      <w:pPr>
        <w:pStyle w:val="FootnoteText"/>
        <w:jc w:val="both"/>
        <w:rPr>
          <w:color w:val="000000" w:themeColor="text1"/>
          <w:sz w:val="22"/>
          <w:szCs w:val="22"/>
        </w:rPr>
      </w:pPr>
      <w:r w:rsidRPr="006837FB">
        <w:rPr>
          <w:sz w:val="22"/>
          <w:szCs w:val="22"/>
          <w:lang w:bidi="he-IL"/>
        </w:rPr>
        <w:tab/>
        <w:t xml:space="preserve">(b) </w:t>
      </w:r>
      <w:r>
        <w:rPr>
          <w:sz w:val="22"/>
          <w:szCs w:val="22"/>
          <w:lang w:bidi="he-IL"/>
        </w:rPr>
        <w:t>Notwithstanding the foregoing clause (a), i</w:t>
      </w:r>
      <w:r w:rsidRPr="006837FB">
        <w:rPr>
          <w:sz w:val="22"/>
          <w:szCs w:val="22"/>
          <w:lang w:bidi="he-IL"/>
        </w:rPr>
        <w:t xml:space="preserve">f at any time </w:t>
      </w:r>
      <w:r>
        <w:rPr>
          <w:sz w:val="22"/>
          <w:szCs w:val="22"/>
          <w:lang w:bidi="he-IL"/>
        </w:rPr>
        <w:t>Administrative Agent</w:t>
      </w:r>
      <w:r w:rsidRPr="006837FB">
        <w:rPr>
          <w:sz w:val="22"/>
          <w:szCs w:val="22"/>
          <w:lang w:bidi="he-IL"/>
        </w:rPr>
        <w:t xml:space="preserve"> determines (which determination shall be conclusive absent manifest error) that (</w:t>
      </w:r>
      <w:proofErr w:type="spellStart"/>
      <w:r w:rsidRPr="006837FB">
        <w:rPr>
          <w:sz w:val="22"/>
          <w:szCs w:val="22"/>
          <w:lang w:bidi="he-IL"/>
        </w:rPr>
        <w:t>i</w:t>
      </w:r>
      <w:proofErr w:type="spellEnd"/>
      <w:r w:rsidRPr="006837FB">
        <w:rPr>
          <w:sz w:val="22"/>
          <w:szCs w:val="22"/>
          <w:lang w:bidi="he-IL"/>
        </w:rPr>
        <w:t>) the circumstances set forth in clause (a)(</w:t>
      </w:r>
      <w:proofErr w:type="spellStart"/>
      <w:r w:rsidRPr="006837FB">
        <w:rPr>
          <w:sz w:val="22"/>
          <w:szCs w:val="22"/>
          <w:lang w:bidi="he-IL"/>
        </w:rPr>
        <w:t>i</w:t>
      </w:r>
      <w:proofErr w:type="spellEnd"/>
      <w:r w:rsidRPr="006837FB">
        <w:rPr>
          <w:sz w:val="22"/>
          <w:szCs w:val="22"/>
          <w:lang w:bidi="he-IL"/>
        </w:rPr>
        <w:t>) above have arisen and such circumstances are unlikely to be temporary or (ii) the circumstances set forth in clause (a)(</w:t>
      </w:r>
      <w:proofErr w:type="spellStart"/>
      <w:r w:rsidRPr="006837FB">
        <w:rPr>
          <w:sz w:val="22"/>
          <w:szCs w:val="22"/>
          <w:lang w:bidi="he-IL"/>
        </w:rPr>
        <w:t>i</w:t>
      </w:r>
      <w:proofErr w:type="spellEnd"/>
      <w:r w:rsidRPr="006837FB">
        <w:rPr>
          <w:sz w:val="22"/>
          <w:szCs w:val="22"/>
          <w:lang w:bidi="he-IL"/>
        </w:rPr>
        <w:t xml:space="preserve">) above have not arisen but the administrator of the Screen Rate, the applicable supervisor for the administrator of the Screen Rate or a Governmental Authority having jurisdiction over </w:t>
      </w:r>
      <w:r>
        <w:rPr>
          <w:sz w:val="22"/>
          <w:szCs w:val="22"/>
          <w:lang w:bidi="he-IL"/>
        </w:rPr>
        <w:t>Administrative Agent</w:t>
      </w:r>
      <w:r w:rsidRPr="006837FB">
        <w:rPr>
          <w:sz w:val="22"/>
          <w:szCs w:val="22"/>
          <w:lang w:bidi="he-IL"/>
        </w:rPr>
        <w:t xml:space="preserve"> has made a public statement that the administrator of the Screen Rate has ceased or will cease to provide the Screen Rate permanently or indefinitely,</w:t>
      </w:r>
      <w:r w:rsidRPr="006837FB">
        <w:rPr>
          <w:b/>
          <w:i/>
          <w:color w:val="C00000"/>
          <w:sz w:val="22"/>
          <w:szCs w:val="22"/>
        </w:rPr>
        <w:t xml:space="preserve"> </w:t>
      </w:r>
      <w:r w:rsidRPr="006837FB">
        <w:rPr>
          <w:sz w:val="22"/>
          <w:szCs w:val="22"/>
        </w:rPr>
        <w:t xml:space="preserve">then </w:t>
      </w:r>
      <w:r>
        <w:rPr>
          <w:sz w:val="22"/>
          <w:szCs w:val="22"/>
        </w:rPr>
        <w:t>Administrative Agent</w:t>
      </w:r>
      <w:r w:rsidRPr="006837FB">
        <w:rPr>
          <w:sz w:val="22"/>
          <w:szCs w:val="22"/>
        </w:rPr>
        <w:t xml:space="preserve"> may</w:t>
      </w:r>
      <w:r w:rsidRPr="006317BC">
        <w:rPr>
          <w:rStyle w:val="FootnoteReference"/>
          <w:sz w:val="22"/>
          <w:szCs w:val="22"/>
          <w:vertAlign w:val="superscript"/>
        </w:rPr>
        <w:footnoteReference w:id="5"/>
      </w:r>
      <w:r w:rsidRPr="006837FB">
        <w:rPr>
          <w:sz w:val="22"/>
          <w:szCs w:val="22"/>
        </w:rPr>
        <w:t xml:space="preserve"> [, </w:t>
      </w:r>
      <w:r w:rsidRPr="006837FB">
        <w:rPr>
          <w:b/>
          <w:sz w:val="22"/>
          <w:szCs w:val="22"/>
        </w:rPr>
        <w:t>in consultation with Borrower,]</w:t>
      </w:r>
      <w:r w:rsidRPr="006317BC">
        <w:rPr>
          <w:rStyle w:val="FootnoteReference"/>
          <w:sz w:val="22"/>
          <w:szCs w:val="22"/>
          <w:vertAlign w:val="superscript"/>
        </w:rPr>
        <w:footnoteReference w:id="6"/>
      </w:r>
      <w:r w:rsidRPr="006837FB">
        <w:rPr>
          <w:sz w:val="22"/>
          <w:szCs w:val="22"/>
        </w:rPr>
        <w:t xml:space="preserve"> </w:t>
      </w:r>
      <w:r>
        <w:rPr>
          <w:sz w:val="22"/>
          <w:szCs w:val="22"/>
        </w:rPr>
        <w:t>establish</w:t>
      </w:r>
      <w:r w:rsidRPr="006837FB">
        <w:rPr>
          <w:sz w:val="22"/>
          <w:szCs w:val="22"/>
        </w:rPr>
        <w:t xml:space="preserve"> as a substitute for the </w:t>
      </w:r>
      <w:r w:rsidRPr="001679F8">
        <w:rPr>
          <w:rFonts w:eastAsia="Batang"/>
          <w:b/>
          <w:color w:val="000000"/>
          <w:w w:val="0"/>
          <w:sz w:val="22"/>
          <w:szCs w:val="22"/>
        </w:rPr>
        <w:t>[Adjusted LIBOR Rate]</w:t>
      </w:r>
      <w:r w:rsidRPr="001679F8">
        <w:rPr>
          <w:rFonts w:eastAsia="Batang"/>
          <w:color w:val="000000"/>
          <w:w w:val="0"/>
          <w:sz w:val="22"/>
          <w:szCs w:val="22"/>
        </w:rPr>
        <w:t xml:space="preserve"> </w:t>
      </w:r>
      <w:r w:rsidRPr="001679F8">
        <w:rPr>
          <w:rFonts w:eastAsia="Batang"/>
          <w:b/>
          <w:color w:val="000000"/>
          <w:w w:val="0"/>
          <w:sz w:val="22"/>
          <w:szCs w:val="22"/>
        </w:rPr>
        <w:t>[</w:t>
      </w:r>
      <w:r w:rsidRPr="001679F8">
        <w:rPr>
          <w:b/>
          <w:sz w:val="22"/>
          <w:szCs w:val="22"/>
        </w:rPr>
        <w:t>LIBOR Index Rate]</w:t>
      </w:r>
      <w:r>
        <w:rPr>
          <w:sz w:val="22"/>
          <w:szCs w:val="22"/>
        </w:rPr>
        <w:t xml:space="preserve"> an interest rate based on</w:t>
      </w:r>
      <w:r w:rsidRPr="006837FB">
        <w:rPr>
          <w:sz w:val="22"/>
          <w:szCs w:val="22"/>
        </w:rPr>
        <w:t xml:space="preserve"> </w:t>
      </w:r>
      <w:r>
        <w:rPr>
          <w:sz w:val="22"/>
          <w:szCs w:val="22"/>
        </w:rPr>
        <w:t>an</w:t>
      </w:r>
      <w:r w:rsidRPr="006837FB">
        <w:rPr>
          <w:sz w:val="22"/>
          <w:szCs w:val="22"/>
        </w:rPr>
        <w:t xml:space="preserve"> alternative reference rate selected by the central bank, reserve bank, monetary authority or any similar institution (including any committee or working group thereof) that is consistent with accepted market practice (</w:t>
      </w:r>
      <w:r>
        <w:rPr>
          <w:sz w:val="22"/>
          <w:szCs w:val="22"/>
        </w:rPr>
        <w:t xml:space="preserve">such alternative reference rate, </w:t>
      </w:r>
      <w:r w:rsidRPr="006837FB">
        <w:rPr>
          <w:sz w:val="22"/>
          <w:szCs w:val="22"/>
        </w:rPr>
        <w:t>the “</w:t>
      </w:r>
      <w:r w:rsidRPr="006837FB">
        <w:rPr>
          <w:b/>
          <w:sz w:val="22"/>
          <w:szCs w:val="22"/>
        </w:rPr>
        <w:t>Alternative Index</w:t>
      </w:r>
      <w:r w:rsidRPr="00170198">
        <w:rPr>
          <w:sz w:val="22"/>
          <w:szCs w:val="22"/>
        </w:rPr>
        <w:t>”</w:t>
      </w:r>
      <w:r>
        <w:rPr>
          <w:sz w:val="22"/>
          <w:szCs w:val="22"/>
        </w:rPr>
        <w:t xml:space="preserve">) </w:t>
      </w:r>
      <w:r w:rsidRPr="00585254">
        <w:rPr>
          <w:color w:val="000000" w:themeColor="text1"/>
          <w:kern w:val="24"/>
          <w:sz w:val="22"/>
          <w:szCs w:val="24"/>
        </w:rPr>
        <w:t>giving due consideration to then prevailing market conventions, including without limitation, by making</w:t>
      </w:r>
      <w:r>
        <w:rPr>
          <w:color w:val="000000" w:themeColor="text1"/>
          <w:sz w:val="22"/>
          <w:szCs w:val="22"/>
        </w:rPr>
        <w:t xml:space="preserve"> </w:t>
      </w:r>
      <w:r w:rsidRPr="006837FB">
        <w:rPr>
          <w:sz w:val="22"/>
          <w:szCs w:val="22"/>
        </w:rPr>
        <w:t>adjustments (“</w:t>
      </w:r>
      <w:r w:rsidRPr="006837FB">
        <w:rPr>
          <w:b/>
          <w:sz w:val="22"/>
          <w:szCs w:val="22"/>
        </w:rPr>
        <w:t>Adjustments</w:t>
      </w:r>
      <w:r w:rsidRPr="006837FB">
        <w:rPr>
          <w:sz w:val="22"/>
          <w:szCs w:val="22"/>
        </w:rPr>
        <w:t xml:space="preserve">”) to the Alternative Index so that the interest rate based on the Alternative Index will be substantially equivalent to the </w:t>
      </w:r>
      <w:r w:rsidRPr="001679F8">
        <w:rPr>
          <w:rFonts w:eastAsia="Batang"/>
          <w:b/>
          <w:color w:val="000000"/>
          <w:w w:val="0"/>
          <w:sz w:val="22"/>
          <w:szCs w:val="22"/>
        </w:rPr>
        <w:t>[Adjusted LIBOR Rate]</w:t>
      </w:r>
      <w:r w:rsidRPr="001679F8">
        <w:rPr>
          <w:rFonts w:eastAsia="Batang"/>
          <w:color w:val="000000"/>
          <w:w w:val="0"/>
          <w:sz w:val="22"/>
          <w:szCs w:val="22"/>
        </w:rPr>
        <w:t xml:space="preserve"> </w:t>
      </w:r>
      <w:r w:rsidRPr="001679F8">
        <w:rPr>
          <w:rFonts w:eastAsia="Batang"/>
          <w:b/>
          <w:color w:val="000000"/>
          <w:w w:val="0"/>
          <w:sz w:val="22"/>
          <w:szCs w:val="22"/>
        </w:rPr>
        <w:t>[</w:t>
      </w:r>
      <w:r w:rsidRPr="001679F8">
        <w:rPr>
          <w:b/>
          <w:sz w:val="22"/>
          <w:szCs w:val="22"/>
        </w:rPr>
        <w:t>LIBOR Index Rate]</w:t>
      </w:r>
      <w:r w:rsidRPr="006837FB">
        <w:rPr>
          <w:sz w:val="22"/>
          <w:szCs w:val="22"/>
        </w:rPr>
        <w:t>, as well as adjustments to the business day convention, interest rate determination dates and related provisions and definitions (the Alternative Index, as adjusted by the Adjustments, referred to as the “</w:t>
      </w:r>
      <w:r w:rsidRPr="006837FB">
        <w:rPr>
          <w:b/>
          <w:sz w:val="22"/>
          <w:szCs w:val="22"/>
        </w:rPr>
        <w:t>Replacement Rate</w:t>
      </w:r>
      <w:r w:rsidRPr="006837FB">
        <w:rPr>
          <w:sz w:val="22"/>
          <w:szCs w:val="22"/>
        </w:rPr>
        <w:t>”.)</w:t>
      </w:r>
      <w:r w:rsidRPr="00170198">
        <w:rPr>
          <w:rStyle w:val="FootnoteReference"/>
          <w:sz w:val="22"/>
          <w:szCs w:val="22"/>
          <w:vertAlign w:val="superscript"/>
        </w:rPr>
        <w:footnoteReference w:id="7"/>
      </w:r>
      <w:r>
        <w:rPr>
          <w:sz w:val="22"/>
          <w:szCs w:val="22"/>
        </w:rPr>
        <w:t xml:space="preserve">  Administrative Agent</w:t>
      </w:r>
      <w:r w:rsidRPr="00B96203">
        <w:rPr>
          <w:sz w:val="22"/>
          <w:szCs w:val="22"/>
        </w:rPr>
        <w:t xml:space="preserve"> and Borrower </w:t>
      </w:r>
      <w:bookmarkStart w:id="12" w:name="_cp_text_1_17"/>
      <w:r w:rsidRPr="005E0EB6">
        <w:rPr>
          <w:color w:val="000000" w:themeColor="text1"/>
          <w:kern w:val="24"/>
          <w:sz w:val="22"/>
          <w:szCs w:val="24"/>
        </w:rPr>
        <w:t>shall endeavor to</w:t>
      </w:r>
      <w:bookmarkEnd w:id="12"/>
      <w:r w:rsidRPr="005E0EB6">
        <w:rPr>
          <w:color w:val="000000" w:themeColor="text1"/>
          <w:kern w:val="24"/>
          <w:sz w:val="22"/>
          <w:szCs w:val="24"/>
        </w:rPr>
        <w:t xml:space="preserve"> </w:t>
      </w:r>
      <w:r w:rsidRPr="00B96203">
        <w:rPr>
          <w:sz w:val="22"/>
          <w:szCs w:val="22"/>
        </w:rPr>
        <w:lastRenderedPageBreak/>
        <w:t xml:space="preserve">enter into an amendment to this Agreement to reflect the </w:t>
      </w:r>
      <w:r>
        <w:rPr>
          <w:sz w:val="22"/>
          <w:szCs w:val="22"/>
        </w:rPr>
        <w:t xml:space="preserve">Replacement Rate, and notwithstanding anything to the contrary set forth in </w:t>
      </w:r>
      <w:r w:rsidRPr="00EF758B">
        <w:rPr>
          <w:sz w:val="22"/>
          <w:szCs w:val="22"/>
          <w:u w:val="single"/>
        </w:rPr>
        <w:t>Section 9.2</w:t>
      </w:r>
      <w:r>
        <w:rPr>
          <w:sz w:val="22"/>
          <w:szCs w:val="22"/>
        </w:rPr>
        <w:t xml:space="preserve">, such amendment shall become effective without any further action or consent of any other party to this Agreement </w:t>
      </w:r>
      <w:r w:rsidRPr="00AD16EB">
        <w:rPr>
          <w:sz w:val="22"/>
          <w:szCs w:val="22"/>
        </w:rPr>
        <w:t xml:space="preserve">so long as the Administrative Agent shall not have received, within five (5) Business Days of the date notice of such </w:t>
      </w:r>
      <w:r>
        <w:rPr>
          <w:sz w:val="22"/>
          <w:szCs w:val="22"/>
        </w:rPr>
        <w:t>Replacement Rate</w:t>
      </w:r>
      <w:r w:rsidRPr="00AD16EB">
        <w:rPr>
          <w:sz w:val="22"/>
          <w:szCs w:val="22"/>
        </w:rPr>
        <w:t xml:space="preserve"> is provided to the Lenders, a written notice from the </w:t>
      </w:r>
      <w:r>
        <w:rPr>
          <w:sz w:val="22"/>
          <w:szCs w:val="22"/>
        </w:rPr>
        <w:t>Required</w:t>
      </w:r>
      <w:r w:rsidRPr="00EF758B">
        <w:rPr>
          <w:sz w:val="22"/>
          <w:szCs w:val="22"/>
        </w:rPr>
        <w:t xml:space="preserve"> Lenders</w:t>
      </w:r>
      <w:r>
        <w:rPr>
          <w:sz w:val="22"/>
          <w:szCs w:val="22"/>
        </w:rPr>
        <w:t xml:space="preserve"> </w:t>
      </w:r>
      <w:r w:rsidRPr="00AD16EB">
        <w:rPr>
          <w:sz w:val="22"/>
          <w:szCs w:val="22"/>
        </w:rPr>
        <w:t xml:space="preserve">stating that such </w:t>
      </w:r>
      <w:r>
        <w:rPr>
          <w:sz w:val="22"/>
          <w:szCs w:val="22"/>
        </w:rPr>
        <w:t>Required</w:t>
      </w:r>
      <w:r w:rsidRPr="00AD16EB">
        <w:rPr>
          <w:sz w:val="22"/>
          <w:szCs w:val="22"/>
        </w:rPr>
        <w:t xml:space="preserve"> Lenders object to such amendment</w:t>
      </w:r>
      <w:r>
        <w:rPr>
          <w:sz w:val="22"/>
          <w:szCs w:val="22"/>
        </w:rPr>
        <w:t xml:space="preserve">.  </w:t>
      </w:r>
      <w:r w:rsidRPr="002C4B21">
        <w:rPr>
          <w:sz w:val="22"/>
          <w:szCs w:val="22"/>
        </w:rPr>
        <w:t xml:space="preserve">Until such an amendment has been executed, </w:t>
      </w:r>
      <w:r>
        <w:rPr>
          <w:sz w:val="22"/>
          <w:szCs w:val="22"/>
        </w:rPr>
        <w:t xml:space="preserve">(y) </w:t>
      </w:r>
      <w:r w:rsidRPr="002C4B21">
        <w:rPr>
          <w:sz w:val="22"/>
          <w:szCs w:val="22"/>
        </w:rPr>
        <w:t>in the case of the circu</w:t>
      </w:r>
      <w:r>
        <w:rPr>
          <w:sz w:val="22"/>
          <w:szCs w:val="22"/>
        </w:rPr>
        <w:t>mstances described in clause (</w:t>
      </w:r>
      <w:proofErr w:type="spellStart"/>
      <w:r>
        <w:rPr>
          <w:sz w:val="22"/>
          <w:szCs w:val="22"/>
        </w:rPr>
        <w:t>i</w:t>
      </w:r>
      <w:proofErr w:type="spellEnd"/>
      <w:r w:rsidRPr="002C4B21">
        <w:rPr>
          <w:sz w:val="22"/>
          <w:szCs w:val="22"/>
        </w:rPr>
        <w:t xml:space="preserve">) of the first sentence of this </w:t>
      </w:r>
      <w:r w:rsidRPr="002C4B21">
        <w:rPr>
          <w:sz w:val="22"/>
          <w:szCs w:val="22"/>
          <w:u w:val="single"/>
        </w:rPr>
        <w:t>Section 2.7(b)</w:t>
      </w:r>
      <w:r w:rsidRPr="002C4B21">
        <w:rPr>
          <w:sz w:val="22"/>
          <w:szCs w:val="22"/>
        </w:rPr>
        <w:t>,</w:t>
      </w:r>
      <w:r>
        <w:rPr>
          <w:sz w:val="22"/>
          <w:szCs w:val="22"/>
        </w:rPr>
        <w:t xml:space="preserve"> </w:t>
      </w:r>
      <w:r w:rsidRPr="002C4B21">
        <w:rPr>
          <w:sz w:val="22"/>
          <w:szCs w:val="22"/>
        </w:rPr>
        <w:t xml:space="preserve">the Loan shall bear interest at the Base </w:t>
      </w:r>
      <w:r>
        <w:rPr>
          <w:sz w:val="22"/>
          <w:szCs w:val="22"/>
        </w:rPr>
        <w:t xml:space="preserve">Rate as provided in </w:t>
      </w:r>
      <w:r w:rsidRPr="00C91219">
        <w:rPr>
          <w:sz w:val="22"/>
          <w:szCs w:val="22"/>
          <w:u w:val="single"/>
        </w:rPr>
        <w:t>Section 2.7(a)</w:t>
      </w:r>
      <w:r>
        <w:rPr>
          <w:sz w:val="22"/>
          <w:szCs w:val="22"/>
        </w:rPr>
        <w:t xml:space="preserve">, and (z) </w:t>
      </w:r>
      <w:r w:rsidRPr="002C4B21">
        <w:rPr>
          <w:sz w:val="22"/>
          <w:szCs w:val="22"/>
        </w:rPr>
        <w:t xml:space="preserve">in the case of the circumstances described in clause (ii) of the first sentence of this </w:t>
      </w:r>
      <w:r w:rsidRPr="002C4B21">
        <w:rPr>
          <w:sz w:val="22"/>
          <w:szCs w:val="22"/>
          <w:u w:val="single"/>
        </w:rPr>
        <w:t>Section 2.7(b)</w:t>
      </w:r>
      <w:r>
        <w:rPr>
          <w:sz w:val="22"/>
          <w:szCs w:val="22"/>
        </w:rPr>
        <w:t xml:space="preserve">, while the Screen Rate for such Interest Period continues to be published at such time on a current basis, the Loan shall continue to bear interest at the </w:t>
      </w:r>
      <w:r w:rsidRPr="001679F8">
        <w:rPr>
          <w:rFonts w:eastAsia="Batang"/>
          <w:b/>
          <w:color w:val="000000"/>
          <w:w w:val="0"/>
          <w:sz w:val="22"/>
          <w:szCs w:val="22"/>
        </w:rPr>
        <w:t>[Adjusted LIBOR Rate]</w:t>
      </w:r>
      <w:r w:rsidRPr="001679F8">
        <w:rPr>
          <w:rFonts w:eastAsia="Batang"/>
          <w:color w:val="000000"/>
          <w:w w:val="0"/>
          <w:sz w:val="22"/>
          <w:szCs w:val="22"/>
        </w:rPr>
        <w:t xml:space="preserve"> </w:t>
      </w:r>
      <w:r w:rsidRPr="001679F8">
        <w:rPr>
          <w:rFonts w:eastAsia="Batang"/>
          <w:b/>
          <w:color w:val="000000"/>
          <w:w w:val="0"/>
          <w:sz w:val="22"/>
          <w:szCs w:val="22"/>
        </w:rPr>
        <w:t>[</w:t>
      </w:r>
      <w:r w:rsidRPr="001679F8">
        <w:rPr>
          <w:b/>
          <w:sz w:val="22"/>
          <w:szCs w:val="22"/>
        </w:rPr>
        <w:t>LIBOR Index Rate]</w:t>
      </w:r>
      <w:r>
        <w:rPr>
          <w:sz w:val="22"/>
          <w:szCs w:val="22"/>
        </w:rPr>
        <w:t xml:space="preserve"> plus the Applicable Margin.  If at any time the Replacement Rate is less than zero percent (0%), the Replacement Rate will be deemed to be zero percent (0%) for purposes of this Agreement.  </w:t>
      </w:r>
      <w:r w:rsidRPr="006837FB">
        <w:rPr>
          <w:sz w:val="22"/>
          <w:szCs w:val="22"/>
        </w:rPr>
        <w:t xml:space="preserve">Absent manifest error, </w:t>
      </w:r>
      <w:r>
        <w:rPr>
          <w:sz w:val="22"/>
          <w:szCs w:val="22"/>
        </w:rPr>
        <w:t>Administrative Agent</w:t>
      </w:r>
      <w:r w:rsidRPr="006837FB">
        <w:rPr>
          <w:sz w:val="22"/>
          <w:szCs w:val="22"/>
        </w:rPr>
        <w:t>’s determination of the Replacement Rate for an interest rate period will be binding and conclusive on the parties.</w:t>
      </w:r>
      <w:r>
        <w:rPr>
          <w:sz w:val="22"/>
          <w:szCs w:val="22"/>
        </w:rPr>
        <w:t xml:space="preserve">  </w:t>
      </w:r>
      <w:r w:rsidRPr="006837FB">
        <w:rPr>
          <w:b/>
          <w:sz w:val="22"/>
          <w:szCs w:val="22"/>
        </w:rPr>
        <w:t xml:space="preserve">[The determination by </w:t>
      </w:r>
      <w:r>
        <w:rPr>
          <w:b/>
          <w:sz w:val="22"/>
          <w:szCs w:val="22"/>
        </w:rPr>
        <w:t>Administrative Agent</w:t>
      </w:r>
      <w:r w:rsidRPr="006837FB">
        <w:rPr>
          <w:b/>
          <w:sz w:val="22"/>
          <w:szCs w:val="22"/>
        </w:rPr>
        <w:t xml:space="preserve"> of the Replacement Rate, and its calculation of interest for any interest rate period, will be maintained on file at </w:t>
      </w:r>
      <w:r>
        <w:rPr>
          <w:b/>
          <w:sz w:val="22"/>
          <w:szCs w:val="22"/>
        </w:rPr>
        <w:t>Administrative Agent</w:t>
      </w:r>
      <w:r w:rsidRPr="006837FB">
        <w:rPr>
          <w:b/>
          <w:sz w:val="22"/>
          <w:szCs w:val="22"/>
        </w:rPr>
        <w:t>’s principal executive offices and will be made available to Borrower upon request.]</w:t>
      </w:r>
      <w:r w:rsidRPr="00DB47D9">
        <w:rPr>
          <w:rStyle w:val="FootnoteReference"/>
          <w:b/>
          <w:sz w:val="22"/>
          <w:szCs w:val="22"/>
          <w:vertAlign w:val="superscript"/>
        </w:rPr>
        <w:footnoteReference w:id="8"/>
      </w:r>
    </w:p>
    <w:p w14:paraId="36B6D43F" w14:textId="77777777" w:rsidR="005B380F" w:rsidRPr="006837FB" w:rsidRDefault="005B380F" w:rsidP="005B380F">
      <w:pPr>
        <w:pStyle w:val="FootnoteText"/>
        <w:jc w:val="both"/>
        <w:rPr>
          <w:i/>
        </w:rPr>
      </w:pPr>
    </w:p>
    <w:p w14:paraId="1EF944FD" w14:textId="77777777" w:rsidR="005B380F" w:rsidRDefault="005B380F" w:rsidP="00E00372">
      <w:pPr>
        <w:pStyle w:val="BodyTextFirstIndent2"/>
        <w:ind w:left="0" w:firstLine="0"/>
        <w:jc w:val="both"/>
        <w:rPr>
          <w:b/>
          <w:sz w:val="22"/>
          <w:szCs w:val="22"/>
        </w:rPr>
      </w:pPr>
      <w:r>
        <w:rPr>
          <w:sz w:val="22"/>
          <w:szCs w:val="22"/>
        </w:rPr>
        <w:tab/>
        <w:t xml:space="preserve">(c)  </w:t>
      </w:r>
      <w:r w:rsidRPr="004E787F">
        <w:rPr>
          <w:sz w:val="22"/>
          <w:szCs w:val="22"/>
        </w:rPr>
        <w:t>If at any time</w:t>
      </w:r>
      <w:r>
        <w:rPr>
          <w:sz w:val="22"/>
          <w:szCs w:val="22"/>
        </w:rPr>
        <w:t xml:space="preserve"> subsequent to implementation of the Replacement Rate</w:t>
      </w:r>
      <w:r w:rsidRPr="004E787F">
        <w:rPr>
          <w:sz w:val="22"/>
          <w:szCs w:val="22"/>
        </w:rPr>
        <w:t xml:space="preserve">, </w:t>
      </w:r>
      <w:r>
        <w:rPr>
          <w:sz w:val="22"/>
          <w:szCs w:val="22"/>
        </w:rPr>
        <w:t>Administrative Agent</w:t>
      </w:r>
      <w:r w:rsidRPr="004E787F">
        <w:rPr>
          <w:sz w:val="22"/>
          <w:szCs w:val="22"/>
        </w:rPr>
        <w:t xml:space="preserve"> shall have determined (which determination shall be conclusive and binding upon Borrower</w:t>
      </w:r>
      <w:r w:rsidRPr="004E787F">
        <w:rPr>
          <w:b/>
          <w:sz w:val="22"/>
          <w:szCs w:val="22"/>
        </w:rPr>
        <w:t>)</w:t>
      </w:r>
      <w:r w:rsidRPr="004E787F">
        <w:rPr>
          <w:sz w:val="22"/>
          <w:szCs w:val="22"/>
        </w:rPr>
        <w:t xml:space="preserve"> that adequate means do not exist for ascertaining the </w:t>
      </w:r>
      <w:r>
        <w:rPr>
          <w:rFonts w:eastAsia="Batang"/>
          <w:color w:val="000000"/>
          <w:sz w:val="22"/>
          <w:szCs w:val="22"/>
        </w:rPr>
        <w:t>Replacement</w:t>
      </w:r>
      <w:r w:rsidRPr="00086D8E">
        <w:rPr>
          <w:rFonts w:eastAsia="Batang"/>
          <w:color w:val="000000"/>
          <w:sz w:val="22"/>
          <w:szCs w:val="22"/>
        </w:rPr>
        <w:t xml:space="preserve"> Rate</w:t>
      </w:r>
      <w:r w:rsidRPr="004E787F">
        <w:rPr>
          <w:sz w:val="22"/>
          <w:szCs w:val="22"/>
        </w:rPr>
        <w:t xml:space="preserve">, </w:t>
      </w:r>
      <w:r>
        <w:rPr>
          <w:sz w:val="22"/>
          <w:szCs w:val="22"/>
        </w:rPr>
        <w:t>then Administrative Agent</w:t>
      </w:r>
      <w:r w:rsidRPr="004E787F">
        <w:rPr>
          <w:sz w:val="22"/>
          <w:szCs w:val="22"/>
        </w:rPr>
        <w:t xml:space="preserve"> shall give written notice</w:t>
      </w:r>
      <w:r>
        <w:rPr>
          <w:sz w:val="22"/>
          <w:szCs w:val="22"/>
        </w:rPr>
        <w:t xml:space="preserve"> thereof</w:t>
      </w:r>
      <w:r w:rsidRPr="004E787F">
        <w:rPr>
          <w:sz w:val="22"/>
          <w:szCs w:val="22"/>
        </w:rPr>
        <w:t xml:space="preserve"> (or telephonic notice, promptly confirmed in writing) to Borrower</w:t>
      </w:r>
      <w:r>
        <w:rPr>
          <w:sz w:val="22"/>
          <w:szCs w:val="22"/>
        </w:rPr>
        <w:t xml:space="preserve"> and the Lenders</w:t>
      </w:r>
      <w:r w:rsidRPr="004E787F">
        <w:rPr>
          <w:sz w:val="22"/>
          <w:szCs w:val="22"/>
        </w:rPr>
        <w:t xml:space="preserve"> as soon as practicable thereafter. Until </w:t>
      </w:r>
      <w:r>
        <w:rPr>
          <w:sz w:val="22"/>
          <w:szCs w:val="22"/>
        </w:rPr>
        <w:t>Administrative Agent</w:t>
      </w:r>
      <w:r w:rsidRPr="004E787F">
        <w:rPr>
          <w:sz w:val="22"/>
          <w:szCs w:val="22"/>
        </w:rPr>
        <w:t xml:space="preserve"> notifies Borrower </w:t>
      </w:r>
      <w:r>
        <w:rPr>
          <w:sz w:val="22"/>
          <w:szCs w:val="22"/>
        </w:rPr>
        <w:t xml:space="preserve">and the Lenders </w:t>
      </w:r>
      <w:r w:rsidRPr="004E787F">
        <w:rPr>
          <w:sz w:val="22"/>
          <w:szCs w:val="22"/>
        </w:rPr>
        <w:t>that the circumstances giving rise to such notice no longer exist, the Loan shall be converted to a Loan bearing interest at the Base Rate</w:t>
      </w:r>
      <w:r w:rsidRPr="004E787F">
        <w:rPr>
          <w:b/>
          <w:sz w:val="22"/>
          <w:szCs w:val="22"/>
        </w:rPr>
        <w:t xml:space="preserve">. </w:t>
      </w:r>
    </w:p>
    <w:p w14:paraId="5BD8580E" w14:textId="77777777" w:rsidR="005B380F" w:rsidRPr="00E00372" w:rsidRDefault="005B380F" w:rsidP="005B380F">
      <w:pPr>
        <w:pStyle w:val="BodyTextFirstIndent2"/>
        <w:ind w:left="0" w:firstLine="0"/>
        <w:rPr>
          <w:sz w:val="22"/>
          <w:szCs w:val="22"/>
        </w:rPr>
      </w:pPr>
    </w:p>
    <w:p w14:paraId="15B6E921" w14:textId="3C59147A" w:rsidR="005B380F" w:rsidRPr="00E00372" w:rsidRDefault="005B380F" w:rsidP="005B380F">
      <w:pPr>
        <w:pStyle w:val="BodyTextFirstIndent2"/>
        <w:ind w:left="0" w:firstLine="0"/>
        <w:rPr>
          <w:b/>
          <w:i/>
          <w:color w:val="C0504D" w:themeColor="accent2"/>
          <w:sz w:val="22"/>
          <w:szCs w:val="22"/>
        </w:rPr>
      </w:pPr>
      <w:r w:rsidRPr="00E00372">
        <w:rPr>
          <w:b/>
          <w:i/>
          <w:color w:val="C0504D" w:themeColor="accent2"/>
          <w:sz w:val="22"/>
          <w:szCs w:val="22"/>
        </w:rPr>
        <w:t>Additional conforming revisions to CRE form loan agreements:</w:t>
      </w:r>
    </w:p>
    <w:p w14:paraId="40735440" w14:textId="77777777" w:rsidR="00E00372" w:rsidRPr="00E00372" w:rsidRDefault="00E00372" w:rsidP="005B380F">
      <w:pPr>
        <w:pStyle w:val="BodyTextFirstIndent2"/>
        <w:ind w:left="0" w:firstLine="0"/>
        <w:rPr>
          <w:b/>
          <w:i/>
          <w:sz w:val="22"/>
          <w:szCs w:val="22"/>
        </w:rPr>
      </w:pPr>
    </w:p>
    <w:p w14:paraId="251A5AE0" w14:textId="3A5E65F2" w:rsidR="005B380F" w:rsidRPr="00E00372" w:rsidRDefault="005B380F" w:rsidP="005B380F">
      <w:pPr>
        <w:pStyle w:val="BodyTextFirstIndent2"/>
        <w:ind w:left="0" w:firstLine="0"/>
        <w:rPr>
          <w:b/>
          <w:sz w:val="22"/>
          <w:szCs w:val="22"/>
        </w:rPr>
      </w:pPr>
      <w:r w:rsidRPr="00E00372">
        <w:rPr>
          <w:b/>
          <w:sz w:val="22"/>
          <w:szCs w:val="22"/>
        </w:rPr>
        <w:t>Add to Definitions:</w:t>
      </w:r>
    </w:p>
    <w:p w14:paraId="5279C2D7" w14:textId="77777777" w:rsidR="00E00372" w:rsidRPr="00E00372" w:rsidRDefault="00E00372" w:rsidP="005B380F">
      <w:pPr>
        <w:pStyle w:val="BodyTextFirstIndent2"/>
        <w:ind w:left="0" w:firstLine="0"/>
        <w:rPr>
          <w:b/>
          <w:sz w:val="22"/>
          <w:szCs w:val="22"/>
        </w:rPr>
      </w:pPr>
    </w:p>
    <w:p w14:paraId="7F1D0C94" w14:textId="77777777" w:rsidR="005B380F" w:rsidRPr="00E00372" w:rsidRDefault="005B380F" w:rsidP="005B380F">
      <w:pPr>
        <w:pStyle w:val="BodyText"/>
        <w:spacing w:after="220"/>
        <w:rPr>
          <w:sz w:val="22"/>
          <w:szCs w:val="22"/>
        </w:rPr>
      </w:pPr>
      <w:r w:rsidRPr="00E00372">
        <w:rPr>
          <w:sz w:val="22"/>
          <w:szCs w:val="22"/>
        </w:rPr>
        <w:t xml:space="preserve"> “</w:t>
      </w:r>
      <w:r w:rsidRPr="00E00372">
        <w:rPr>
          <w:sz w:val="22"/>
          <w:szCs w:val="22"/>
          <w:u w:val="single"/>
        </w:rPr>
        <w:t>Screen Rate</w:t>
      </w:r>
      <w:r w:rsidRPr="00E00372">
        <w:rPr>
          <w:sz w:val="22"/>
          <w:szCs w:val="22"/>
        </w:rPr>
        <w:t xml:space="preserve">” </w:t>
      </w:r>
      <w:r w:rsidRPr="00FC3170">
        <w:rPr>
          <w:b w:val="0"/>
          <w:sz w:val="22"/>
          <w:szCs w:val="22"/>
        </w:rPr>
        <w:t>shall mean the rate specified in clause (</w:t>
      </w:r>
      <w:proofErr w:type="spellStart"/>
      <w:r w:rsidRPr="00FC3170">
        <w:rPr>
          <w:b w:val="0"/>
          <w:sz w:val="22"/>
          <w:szCs w:val="22"/>
        </w:rPr>
        <w:t>i</w:t>
      </w:r>
      <w:proofErr w:type="spellEnd"/>
      <w:r w:rsidRPr="00FC3170">
        <w:rPr>
          <w:b w:val="0"/>
          <w:sz w:val="22"/>
          <w:szCs w:val="22"/>
        </w:rPr>
        <w:t>) of the definition of</w:t>
      </w:r>
      <w:r w:rsidRPr="00E00372">
        <w:rPr>
          <w:sz w:val="22"/>
          <w:szCs w:val="22"/>
        </w:rPr>
        <w:t xml:space="preserve"> </w:t>
      </w:r>
      <w:r w:rsidRPr="00E00372">
        <w:rPr>
          <w:rFonts w:eastAsia="Batang"/>
          <w:color w:val="000000"/>
          <w:w w:val="0"/>
          <w:sz w:val="22"/>
          <w:szCs w:val="22"/>
        </w:rPr>
        <w:t>[Adjusted LIBOR Rate] [</w:t>
      </w:r>
      <w:r w:rsidRPr="00E00372">
        <w:rPr>
          <w:sz w:val="22"/>
          <w:szCs w:val="22"/>
        </w:rPr>
        <w:t xml:space="preserve">LIBOR Index Rate].  </w:t>
      </w:r>
    </w:p>
    <w:p w14:paraId="1878755E" w14:textId="7E01553B" w:rsidR="005B380F" w:rsidRDefault="005B380F" w:rsidP="005B380F">
      <w:pPr>
        <w:pStyle w:val="BodyTextFirstIndent2"/>
        <w:ind w:left="0" w:firstLine="0"/>
        <w:rPr>
          <w:b/>
          <w:sz w:val="22"/>
          <w:szCs w:val="22"/>
        </w:rPr>
      </w:pPr>
      <w:r w:rsidRPr="00E00372">
        <w:rPr>
          <w:b/>
          <w:sz w:val="22"/>
          <w:szCs w:val="22"/>
        </w:rPr>
        <w:t xml:space="preserve">Revised Section 2.4 (additions in </w:t>
      </w:r>
      <w:r w:rsidRPr="00E00372">
        <w:rPr>
          <w:b/>
          <w:sz w:val="22"/>
          <w:szCs w:val="22"/>
          <w:highlight w:val="cyan"/>
        </w:rPr>
        <w:t>blue</w:t>
      </w:r>
      <w:r w:rsidRPr="00E00372">
        <w:rPr>
          <w:b/>
          <w:sz w:val="22"/>
          <w:szCs w:val="22"/>
        </w:rPr>
        <w:t>):</w:t>
      </w:r>
    </w:p>
    <w:p w14:paraId="142FAEE6" w14:textId="77777777" w:rsidR="00FC3170" w:rsidRPr="00E00372" w:rsidRDefault="00FC3170" w:rsidP="005B380F">
      <w:pPr>
        <w:pStyle w:val="BodyTextFirstIndent2"/>
        <w:ind w:left="0" w:firstLine="0"/>
        <w:rPr>
          <w:b/>
          <w:sz w:val="22"/>
          <w:szCs w:val="22"/>
        </w:rPr>
      </w:pPr>
    </w:p>
    <w:p w14:paraId="603B4454" w14:textId="77777777" w:rsidR="005B380F" w:rsidRPr="00E00372" w:rsidRDefault="005B380F" w:rsidP="005B380F">
      <w:pPr>
        <w:pStyle w:val="Heading2"/>
        <w:numPr>
          <w:ilvl w:val="0"/>
          <w:numId w:val="0"/>
        </w:numPr>
        <w:ind w:left="1440"/>
        <w:rPr>
          <w:rFonts w:ascii="Times New Roman" w:hAnsi="Times New Roman" w:cs="Times New Roman"/>
          <w:kern w:val="0"/>
          <w:sz w:val="22"/>
          <w:szCs w:val="22"/>
          <w:u w:val="none"/>
        </w:rPr>
      </w:pPr>
      <w:proofErr w:type="gramStart"/>
      <w:r w:rsidRPr="00E00372">
        <w:rPr>
          <w:rFonts w:ascii="Times New Roman" w:hAnsi="Times New Roman" w:cs="Times New Roman"/>
          <w:kern w:val="0"/>
          <w:sz w:val="22"/>
          <w:szCs w:val="22"/>
        </w:rPr>
        <w:t>Section 2.4 Interest on Loan</w:t>
      </w:r>
      <w:r w:rsidRPr="00E00372">
        <w:rPr>
          <w:rFonts w:ascii="Times New Roman" w:hAnsi="Times New Roman" w:cs="Times New Roman"/>
          <w:kern w:val="0"/>
          <w:sz w:val="22"/>
          <w:szCs w:val="22"/>
          <w:u w:val="none"/>
        </w:rPr>
        <w:t>.</w:t>
      </w:r>
      <w:proofErr w:type="gramEnd"/>
    </w:p>
    <w:p w14:paraId="5CB938A9" w14:textId="5DB143CF" w:rsidR="005B380F" w:rsidRPr="00E00372" w:rsidRDefault="00FC3170" w:rsidP="00FC3170">
      <w:pPr>
        <w:pStyle w:val="Heading3"/>
        <w:numPr>
          <w:ilvl w:val="0"/>
          <w:numId w:val="0"/>
        </w:numPr>
        <w:ind w:firstLine="1440"/>
        <w:rPr>
          <w:rFonts w:eastAsia="Batang" w:cs="Times New Roman"/>
          <w:kern w:val="0"/>
          <w:sz w:val="22"/>
          <w:szCs w:val="22"/>
        </w:rPr>
      </w:pPr>
      <w:r>
        <w:rPr>
          <w:rFonts w:eastAsia="Batang" w:cs="Times New Roman"/>
          <w:kern w:val="0"/>
          <w:sz w:val="22"/>
          <w:szCs w:val="22"/>
        </w:rPr>
        <w:t xml:space="preserve">(a) </w:t>
      </w:r>
      <w:r w:rsidR="005B380F" w:rsidRPr="00E00372">
        <w:rPr>
          <w:rFonts w:eastAsia="Batang" w:cs="Times New Roman"/>
          <w:kern w:val="0"/>
          <w:sz w:val="22"/>
          <w:szCs w:val="22"/>
        </w:rPr>
        <w:t xml:space="preserve">Subject to </w:t>
      </w:r>
      <w:r w:rsidR="005B380F" w:rsidRPr="00E00372">
        <w:rPr>
          <w:rFonts w:eastAsia="Batang" w:cs="Times New Roman"/>
          <w:kern w:val="0"/>
          <w:sz w:val="22"/>
          <w:szCs w:val="22"/>
          <w:u w:val="single"/>
        </w:rPr>
        <w:t>Section 2.7</w:t>
      </w:r>
      <w:r w:rsidR="005B380F" w:rsidRPr="00E00372">
        <w:rPr>
          <w:rFonts w:eastAsia="Batang" w:cs="Times New Roman"/>
          <w:kern w:val="0"/>
          <w:sz w:val="22"/>
          <w:szCs w:val="22"/>
        </w:rPr>
        <w:t xml:space="preserve"> and </w:t>
      </w:r>
      <w:r w:rsidR="005B380F" w:rsidRPr="00E00372">
        <w:rPr>
          <w:rFonts w:eastAsia="Batang" w:cs="Times New Roman"/>
          <w:kern w:val="0"/>
          <w:sz w:val="22"/>
          <w:szCs w:val="22"/>
          <w:u w:val="single"/>
        </w:rPr>
        <w:t>Section 2.8</w:t>
      </w:r>
      <w:r w:rsidR="005B380F" w:rsidRPr="00E00372">
        <w:rPr>
          <w:rFonts w:eastAsia="Batang" w:cs="Times New Roman"/>
          <w:kern w:val="0"/>
          <w:sz w:val="22"/>
          <w:szCs w:val="22"/>
        </w:rPr>
        <w:t xml:space="preserve"> below, Borrower shall pay interest on the Loan</w:t>
      </w:r>
      <w:r w:rsidR="005B380F" w:rsidRPr="00E00372">
        <w:rPr>
          <w:rFonts w:eastAsia="Batang" w:cs="Times New Roman"/>
          <w:kern w:val="0"/>
          <w:sz w:val="22"/>
          <w:szCs w:val="22"/>
          <w:highlight w:val="cyan"/>
        </w:rPr>
        <w:t>: (</w:t>
      </w:r>
      <w:proofErr w:type="spellStart"/>
      <w:r w:rsidR="005B380F" w:rsidRPr="00E00372">
        <w:rPr>
          <w:rFonts w:eastAsia="Batang" w:cs="Times New Roman"/>
          <w:kern w:val="0"/>
          <w:sz w:val="22"/>
          <w:szCs w:val="22"/>
          <w:highlight w:val="cyan"/>
        </w:rPr>
        <w:t>i</w:t>
      </w:r>
      <w:proofErr w:type="spellEnd"/>
      <w:r w:rsidR="005B380F" w:rsidRPr="00E00372">
        <w:rPr>
          <w:rFonts w:eastAsia="Batang" w:cs="Times New Roman"/>
          <w:kern w:val="0"/>
          <w:sz w:val="22"/>
          <w:szCs w:val="22"/>
          <w:highlight w:val="cyan"/>
        </w:rPr>
        <w:t>)</w:t>
      </w:r>
      <w:r w:rsidR="005B380F" w:rsidRPr="00E00372">
        <w:rPr>
          <w:rFonts w:eastAsia="Batang" w:cs="Times New Roman"/>
          <w:kern w:val="0"/>
          <w:sz w:val="22"/>
          <w:szCs w:val="22"/>
        </w:rPr>
        <w:t xml:space="preserve"> at the </w:t>
      </w:r>
      <w:r w:rsidR="005B380F" w:rsidRPr="00E00372">
        <w:rPr>
          <w:rFonts w:eastAsia="Batang" w:cs="Times New Roman"/>
          <w:b/>
          <w:color w:val="000000"/>
          <w:w w:val="0"/>
          <w:sz w:val="22"/>
          <w:szCs w:val="22"/>
        </w:rPr>
        <w:t>[Adjusted LIBOR Rate]</w:t>
      </w:r>
      <w:r w:rsidR="005B380F" w:rsidRPr="00E00372">
        <w:rPr>
          <w:rFonts w:eastAsia="Batang" w:cs="Times New Roman"/>
          <w:color w:val="000000"/>
          <w:w w:val="0"/>
          <w:sz w:val="22"/>
          <w:szCs w:val="22"/>
        </w:rPr>
        <w:t xml:space="preserve"> </w:t>
      </w:r>
      <w:r w:rsidR="005B380F" w:rsidRPr="00E00372">
        <w:rPr>
          <w:rFonts w:eastAsia="Batang" w:cs="Times New Roman"/>
          <w:b/>
          <w:color w:val="000000"/>
          <w:w w:val="0"/>
          <w:sz w:val="22"/>
          <w:szCs w:val="22"/>
        </w:rPr>
        <w:t>[</w:t>
      </w:r>
      <w:r w:rsidR="005B380F" w:rsidRPr="00E00372">
        <w:rPr>
          <w:rFonts w:cs="Times New Roman"/>
          <w:b/>
          <w:sz w:val="22"/>
          <w:szCs w:val="22"/>
        </w:rPr>
        <w:t>LIBOR Index Rate]</w:t>
      </w:r>
      <w:r w:rsidR="005B380F" w:rsidRPr="00E00372">
        <w:rPr>
          <w:rFonts w:eastAsia="Batang" w:cs="Times New Roman"/>
          <w:kern w:val="0"/>
          <w:sz w:val="22"/>
          <w:szCs w:val="22"/>
        </w:rPr>
        <w:t xml:space="preserve"> in effect for the applicable Interest Period plus the Applicable Margin in effect from time to time, or </w:t>
      </w:r>
      <w:r w:rsidR="005B380F" w:rsidRPr="00E00372">
        <w:rPr>
          <w:rFonts w:eastAsia="Batang" w:cs="Times New Roman"/>
          <w:kern w:val="0"/>
          <w:sz w:val="22"/>
          <w:szCs w:val="22"/>
          <w:highlight w:val="cyan"/>
        </w:rPr>
        <w:t>(ii)</w:t>
      </w:r>
      <w:r w:rsidR="005B380F" w:rsidRPr="00E00372">
        <w:rPr>
          <w:rFonts w:eastAsia="Batang" w:cs="Times New Roman"/>
          <w:b/>
          <w:kern w:val="0"/>
          <w:sz w:val="22"/>
          <w:szCs w:val="22"/>
          <w:highlight w:val="cyan"/>
        </w:rPr>
        <w:t xml:space="preserve"> </w:t>
      </w:r>
      <w:r w:rsidR="005B380F" w:rsidRPr="00E00372">
        <w:rPr>
          <w:rFonts w:eastAsia="Batang" w:cs="Times New Roman"/>
          <w:kern w:val="0"/>
          <w:sz w:val="22"/>
          <w:szCs w:val="22"/>
          <w:highlight w:val="cyan"/>
        </w:rPr>
        <w:t xml:space="preserve">from and after implementation of the Replacement Rate pursuant to </w:t>
      </w:r>
      <w:r w:rsidR="005B380F" w:rsidRPr="00E00372">
        <w:rPr>
          <w:rFonts w:eastAsia="Batang" w:cs="Times New Roman"/>
          <w:kern w:val="0"/>
          <w:sz w:val="22"/>
          <w:szCs w:val="22"/>
          <w:highlight w:val="cyan"/>
          <w:u w:val="single"/>
        </w:rPr>
        <w:t>Section 2.7(b)</w:t>
      </w:r>
      <w:r w:rsidR="005B380F" w:rsidRPr="00E00372">
        <w:rPr>
          <w:rFonts w:eastAsia="Batang" w:cs="Times New Roman"/>
          <w:kern w:val="0"/>
          <w:sz w:val="22"/>
          <w:szCs w:val="22"/>
          <w:highlight w:val="cyan"/>
        </w:rPr>
        <w:t>, at the Replacement Rate in effect for the applicable Interest Period plus the Applicable Margin in effect from time to time</w:t>
      </w:r>
      <w:r w:rsidR="005B380F" w:rsidRPr="00E00372">
        <w:rPr>
          <w:rFonts w:eastAsia="Batang" w:cs="Times New Roman"/>
          <w:kern w:val="0"/>
          <w:sz w:val="22"/>
          <w:szCs w:val="22"/>
        </w:rPr>
        <w:t xml:space="preserve"> (the “</w:t>
      </w:r>
      <w:r w:rsidR="005B380F" w:rsidRPr="00E00372">
        <w:rPr>
          <w:rFonts w:eastAsia="Batang" w:cs="Times New Roman"/>
          <w:b/>
          <w:kern w:val="0"/>
          <w:sz w:val="22"/>
          <w:szCs w:val="22"/>
          <w:u w:val="single"/>
        </w:rPr>
        <w:t>Applicable Interest Rate</w:t>
      </w:r>
      <w:r w:rsidR="005B380F" w:rsidRPr="00E00372">
        <w:rPr>
          <w:rFonts w:eastAsia="Batang" w:cs="Times New Roman"/>
          <w:kern w:val="0"/>
          <w:sz w:val="22"/>
          <w:szCs w:val="22"/>
        </w:rPr>
        <w:t>”).</w:t>
      </w:r>
    </w:p>
    <w:p w14:paraId="48BF85AF" w14:textId="77777777" w:rsidR="005B380F" w:rsidRPr="00E00372" w:rsidRDefault="005B380F" w:rsidP="005B380F">
      <w:pPr>
        <w:pStyle w:val="BodyText"/>
        <w:rPr>
          <w:sz w:val="22"/>
          <w:szCs w:val="22"/>
        </w:rPr>
      </w:pPr>
    </w:p>
    <w:p w14:paraId="76785FB1" w14:textId="77777777" w:rsidR="005B380F" w:rsidRPr="00E00372" w:rsidRDefault="005B380F" w:rsidP="005B380F">
      <w:pPr>
        <w:pStyle w:val="BodyTextFirstIndent2"/>
        <w:ind w:left="0" w:firstLine="0"/>
        <w:rPr>
          <w:b/>
          <w:sz w:val="22"/>
          <w:szCs w:val="22"/>
        </w:rPr>
      </w:pPr>
      <w:r w:rsidRPr="00E00372">
        <w:rPr>
          <w:b/>
          <w:sz w:val="22"/>
          <w:szCs w:val="22"/>
        </w:rPr>
        <w:t>Revised Section 2.9(a</w:t>
      </w:r>
      <w:proofErr w:type="gramStart"/>
      <w:r w:rsidRPr="00E00372">
        <w:rPr>
          <w:b/>
          <w:sz w:val="22"/>
          <w:szCs w:val="22"/>
        </w:rPr>
        <w:t>)(</w:t>
      </w:r>
      <w:proofErr w:type="spellStart"/>
      <w:proofErr w:type="gramEnd"/>
      <w:r w:rsidRPr="00E00372">
        <w:rPr>
          <w:b/>
          <w:sz w:val="22"/>
          <w:szCs w:val="22"/>
        </w:rPr>
        <w:t>i</w:t>
      </w:r>
      <w:proofErr w:type="spellEnd"/>
      <w:r w:rsidRPr="00E00372">
        <w:rPr>
          <w:b/>
          <w:sz w:val="22"/>
          <w:szCs w:val="22"/>
        </w:rPr>
        <w:t xml:space="preserve">) (additions in </w:t>
      </w:r>
      <w:r w:rsidRPr="00E00372">
        <w:rPr>
          <w:b/>
          <w:sz w:val="22"/>
          <w:szCs w:val="22"/>
          <w:highlight w:val="cyan"/>
        </w:rPr>
        <w:t>blue</w:t>
      </w:r>
      <w:r w:rsidRPr="00E00372">
        <w:rPr>
          <w:b/>
          <w:sz w:val="22"/>
          <w:szCs w:val="22"/>
        </w:rPr>
        <w:t>):</w:t>
      </w:r>
    </w:p>
    <w:p w14:paraId="02FBF055" w14:textId="77777777" w:rsidR="005B380F" w:rsidRPr="00E00372" w:rsidRDefault="005B380F" w:rsidP="005B380F">
      <w:pPr>
        <w:pStyle w:val="BodyText"/>
        <w:rPr>
          <w:sz w:val="22"/>
          <w:szCs w:val="22"/>
        </w:rPr>
      </w:pPr>
    </w:p>
    <w:p w14:paraId="163F9711" w14:textId="77777777" w:rsidR="005B380F" w:rsidRPr="00E00372" w:rsidRDefault="005B380F" w:rsidP="005B380F">
      <w:pPr>
        <w:pStyle w:val="Heading3"/>
        <w:numPr>
          <w:ilvl w:val="0"/>
          <w:numId w:val="0"/>
        </w:numPr>
        <w:ind w:firstLine="1440"/>
        <w:rPr>
          <w:rFonts w:cs="Times New Roman"/>
          <w:sz w:val="22"/>
          <w:szCs w:val="22"/>
        </w:rPr>
      </w:pPr>
      <w:r w:rsidRPr="00E00372">
        <w:rPr>
          <w:rFonts w:cs="Times New Roman"/>
          <w:sz w:val="22"/>
          <w:szCs w:val="22"/>
        </w:rPr>
        <w:t>(a) If any Change in Law shall:</w:t>
      </w:r>
    </w:p>
    <w:p w14:paraId="209324C5" w14:textId="77777777" w:rsidR="005B380F" w:rsidRPr="00E00372" w:rsidRDefault="005B380F" w:rsidP="005B380F">
      <w:pPr>
        <w:pStyle w:val="Heading4"/>
        <w:rPr>
          <w:b/>
          <w:sz w:val="22"/>
          <w:szCs w:val="22"/>
        </w:rPr>
      </w:pPr>
      <w:r w:rsidRPr="00E00372">
        <w:rPr>
          <w:sz w:val="22"/>
          <w:szCs w:val="22"/>
        </w:rPr>
        <w:t xml:space="preserve">impose, modify or deem applicable any reserve, special deposit or similar requirement that is not otherwise included in the determination of the </w:t>
      </w:r>
      <w:r w:rsidRPr="00E00372">
        <w:rPr>
          <w:rFonts w:eastAsia="Batang"/>
          <w:b/>
          <w:color w:val="000000"/>
          <w:w w:val="0"/>
          <w:sz w:val="22"/>
          <w:szCs w:val="22"/>
        </w:rPr>
        <w:t>[Adjusted LIBOR Rate]</w:t>
      </w:r>
      <w:r w:rsidRPr="00E00372">
        <w:rPr>
          <w:rFonts w:eastAsia="Batang"/>
          <w:color w:val="000000"/>
          <w:w w:val="0"/>
          <w:sz w:val="22"/>
          <w:szCs w:val="22"/>
        </w:rPr>
        <w:t xml:space="preserve"> </w:t>
      </w:r>
      <w:r w:rsidRPr="00E00372">
        <w:rPr>
          <w:rFonts w:eastAsia="Batang"/>
          <w:b/>
          <w:color w:val="000000"/>
          <w:w w:val="0"/>
          <w:sz w:val="22"/>
          <w:szCs w:val="22"/>
        </w:rPr>
        <w:t>[</w:t>
      </w:r>
      <w:r w:rsidRPr="00E00372">
        <w:rPr>
          <w:b/>
          <w:sz w:val="22"/>
          <w:szCs w:val="22"/>
        </w:rPr>
        <w:t>LIBOR Index Rate]</w:t>
      </w:r>
      <w:r w:rsidRPr="00E00372">
        <w:rPr>
          <w:sz w:val="22"/>
          <w:szCs w:val="22"/>
        </w:rPr>
        <w:t xml:space="preserve"> </w:t>
      </w:r>
      <w:r w:rsidRPr="00E00372">
        <w:rPr>
          <w:sz w:val="22"/>
          <w:szCs w:val="22"/>
          <w:highlight w:val="cyan"/>
        </w:rPr>
        <w:t>or the Replacement Rate hereunder</w:t>
      </w:r>
      <w:r w:rsidRPr="00E00372">
        <w:rPr>
          <w:sz w:val="22"/>
          <w:szCs w:val="22"/>
        </w:rPr>
        <w:t xml:space="preserve"> against assets of, deposits with or for the account of, or </w:t>
      </w:r>
      <w:r w:rsidRPr="00E00372">
        <w:rPr>
          <w:sz w:val="22"/>
          <w:szCs w:val="22"/>
        </w:rPr>
        <w:lastRenderedPageBreak/>
        <w:t xml:space="preserve">credit extended by, Lender (except any such reserve requirement reflected in the </w:t>
      </w:r>
      <w:r w:rsidRPr="00E00372">
        <w:rPr>
          <w:rFonts w:eastAsia="Batang"/>
          <w:b/>
          <w:color w:val="000000"/>
          <w:w w:val="0"/>
          <w:sz w:val="22"/>
          <w:szCs w:val="22"/>
        </w:rPr>
        <w:t>[Adjusted LIBOR Rate]</w:t>
      </w:r>
      <w:r w:rsidRPr="00E00372">
        <w:rPr>
          <w:rFonts w:eastAsia="Batang"/>
          <w:color w:val="000000"/>
          <w:w w:val="0"/>
          <w:sz w:val="22"/>
          <w:szCs w:val="22"/>
        </w:rPr>
        <w:t xml:space="preserve"> </w:t>
      </w:r>
      <w:r w:rsidRPr="00E00372">
        <w:rPr>
          <w:rFonts w:eastAsia="Batang"/>
          <w:b/>
          <w:color w:val="000000"/>
          <w:w w:val="0"/>
          <w:sz w:val="22"/>
          <w:szCs w:val="22"/>
        </w:rPr>
        <w:t>[</w:t>
      </w:r>
      <w:r w:rsidRPr="00E00372">
        <w:rPr>
          <w:b/>
          <w:sz w:val="22"/>
          <w:szCs w:val="22"/>
        </w:rPr>
        <w:t xml:space="preserve">LIBOR Index Rate] </w:t>
      </w:r>
      <w:r w:rsidRPr="00E00372">
        <w:rPr>
          <w:sz w:val="22"/>
          <w:szCs w:val="22"/>
          <w:highlight w:val="cyan"/>
        </w:rPr>
        <w:t>or the Replacement Rate</w:t>
      </w:r>
      <w:r w:rsidRPr="00E00372">
        <w:rPr>
          <w:b/>
          <w:sz w:val="22"/>
          <w:szCs w:val="22"/>
          <w:highlight w:val="cyan"/>
        </w:rPr>
        <w:t>)</w:t>
      </w:r>
      <w:r w:rsidRPr="00E00372">
        <w:rPr>
          <w:sz w:val="22"/>
          <w:szCs w:val="22"/>
        </w:rPr>
        <w:t>; or</w:t>
      </w:r>
      <w:r w:rsidRPr="00E00372">
        <w:rPr>
          <w:b/>
          <w:sz w:val="22"/>
          <w:szCs w:val="22"/>
        </w:rPr>
        <w:t xml:space="preserve"> </w:t>
      </w:r>
    </w:p>
    <w:p w14:paraId="47F66FE2" w14:textId="77777777" w:rsidR="005B380F" w:rsidRPr="00E00372" w:rsidRDefault="005B380F" w:rsidP="005B380F">
      <w:pPr>
        <w:pStyle w:val="BodyText"/>
        <w:rPr>
          <w:sz w:val="22"/>
          <w:szCs w:val="22"/>
        </w:rPr>
      </w:pPr>
    </w:p>
    <w:p w14:paraId="542F1488" w14:textId="0244B486" w:rsidR="005B380F" w:rsidRDefault="005B380F" w:rsidP="005B380F">
      <w:pPr>
        <w:rPr>
          <w:b/>
          <w:sz w:val="22"/>
          <w:szCs w:val="22"/>
        </w:rPr>
      </w:pPr>
      <w:r w:rsidRPr="00E00372">
        <w:rPr>
          <w:b/>
          <w:sz w:val="22"/>
          <w:szCs w:val="22"/>
        </w:rPr>
        <w:t xml:space="preserve">Revised Section 2.15 (additions in </w:t>
      </w:r>
      <w:r w:rsidRPr="00E00372">
        <w:rPr>
          <w:b/>
          <w:sz w:val="22"/>
          <w:szCs w:val="22"/>
          <w:highlight w:val="cyan"/>
        </w:rPr>
        <w:t>blue</w:t>
      </w:r>
      <w:r w:rsidRPr="00E00372">
        <w:rPr>
          <w:b/>
          <w:sz w:val="22"/>
          <w:szCs w:val="22"/>
        </w:rPr>
        <w:t>):</w:t>
      </w:r>
    </w:p>
    <w:p w14:paraId="20CE189A" w14:textId="77777777" w:rsidR="00CD14AA" w:rsidRPr="00E00372" w:rsidRDefault="00CD14AA" w:rsidP="005B380F">
      <w:pPr>
        <w:rPr>
          <w:b/>
          <w:sz w:val="22"/>
          <w:szCs w:val="22"/>
        </w:rPr>
      </w:pPr>
    </w:p>
    <w:p w14:paraId="2D3380AC" w14:textId="77777777" w:rsidR="005B380F" w:rsidRPr="00E00372" w:rsidRDefault="005B380F" w:rsidP="005B380F">
      <w:pPr>
        <w:pStyle w:val="Heading2"/>
        <w:numPr>
          <w:ilvl w:val="0"/>
          <w:numId w:val="0"/>
        </w:numPr>
        <w:tabs>
          <w:tab w:val="left" w:pos="0"/>
        </w:tabs>
        <w:overflowPunct w:val="0"/>
        <w:autoSpaceDE w:val="0"/>
        <w:autoSpaceDN w:val="0"/>
        <w:adjustRightInd w:val="0"/>
        <w:textAlignment w:val="baseline"/>
        <w:rPr>
          <w:rFonts w:ascii="Times New Roman" w:hAnsi="Times New Roman" w:cs="Times New Roman"/>
          <w:vanish/>
          <w:sz w:val="22"/>
          <w:szCs w:val="22"/>
          <w:specVanish/>
        </w:rPr>
      </w:pPr>
      <w:bookmarkStart w:id="13" w:name="_Toc517884628"/>
      <w:r w:rsidRPr="00E00372">
        <w:rPr>
          <w:rFonts w:ascii="Times New Roman" w:eastAsiaTheme="minorHAnsi" w:hAnsi="Times New Roman" w:cs="Times New Roman"/>
          <w:b w:val="0"/>
          <w:bCs w:val="0"/>
          <w:iCs w:val="0"/>
          <w:kern w:val="0"/>
          <w:sz w:val="22"/>
          <w:szCs w:val="22"/>
          <w:u w:val="none"/>
        </w:rPr>
        <w:tab/>
      </w:r>
      <w:r w:rsidRPr="00E00372">
        <w:rPr>
          <w:rFonts w:ascii="Times New Roman" w:hAnsi="Times New Roman" w:cs="Times New Roman"/>
          <w:sz w:val="22"/>
          <w:szCs w:val="22"/>
        </w:rPr>
        <w:t>Funding Indemnity</w:t>
      </w:r>
      <w:bookmarkEnd w:id="13"/>
    </w:p>
    <w:p w14:paraId="2BDC031A" w14:textId="77777777" w:rsidR="005B380F" w:rsidRPr="00E00372" w:rsidRDefault="005B380F" w:rsidP="005B380F">
      <w:pPr>
        <w:pStyle w:val="Para2"/>
        <w:rPr>
          <w:sz w:val="22"/>
          <w:szCs w:val="22"/>
        </w:rPr>
      </w:pPr>
      <w:r w:rsidRPr="00E00372">
        <w:rPr>
          <w:iCs/>
          <w:sz w:val="22"/>
          <w:szCs w:val="22"/>
        </w:rPr>
        <w:t xml:space="preserve">.  </w:t>
      </w:r>
      <w:r w:rsidRPr="00E00372">
        <w:rPr>
          <w:sz w:val="22"/>
          <w:szCs w:val="22"/>
        </w:rPr>
        <w:t xml:space="preserve">In the event of any (a) payment of any principal of any portion of the Loan other than on the last day of the Interest Period applicable thereto (including as a result of an Event of Default) or (b) the failure by Borrower to borrow or prepay any portion of the Loan on the date specified in any applicable notice (regardless of whether such notice is withdrawn or revoked) then, in any such event, Borrower shall compensate each Lender, within five (5) Business Days after written demand from such Lender, for any loss, cost or expense attributable to such event.  Such loss, cost or expense shall be deemed to include an amount determined by such Lender to be the excess, if any, of (A) the amount of interest that would have accrued on the principal amount of such portion of the Loan if such event had not occurred at the </w:t>
      </w:r>
      <w:r w:rsidRPr="00E00372">
        <w:rPr>
          <w:b/>
          <w:sz w:val="22"/>
          <w:szCs w:val="22"/>
        </w:rPr>
        <w:t>[LIBOR Index Rate] [</w:t>
      </w:r>
      <w:r w:rsidRPr="00E00372">
        <w:rPr>
          <w:rFonts w:eastAsia="Batang"/>
          <w:b/>
          <w:w w:val="0"/>
          <w:sz w:val="22"/>
          <w:szCs w:val="22"/>
        </w:rPr>
        <w:t xml:space="preserve">Adjusted LIBOR Rate] </w:t>
      </w:r>
      <w:r w:rsidRPr="00E00372">
        <w:rPr>
          <w:rFonts w:eastAsia="Batang"/>
          <w:color w:val="000000"/>
          <w:w w:val="0"/>
          <w:sz w:val="22"/>
          <w:szCs w:val="22"/>
          <w:highlight w:val="cyan"/>
        </w:rPr>
        <w:t>or the Replacement Rate</w:t>
      </w:r>
      <w:r w:rsidRPr="00E00372">
        <w:rPr>
          <w:rFonts w:eastAsia="Batang"/>
          <w:b/>
          <w:color w:val="000000"/>
          <w:w w:val="0"/>
          <w:sz w:val="22"/>
          <w:szCs w:val="22"/>
        </w:rPr>
        <w:t xml:space="preserve"> </w:t>
      </w:r>
      <w:r w:rsidRPr="00E00372">
        <w:rPr>
          <w:sz w:val="22"/>
          <w:szCs w:val="22"/>
        </w:rPr>
        <w:t xml:space="preserve">applicable to the Loan for the period from the date of such event to the last day of the then current Interest Period therefor (or in the case of a failure to borrow for the period that would have been the Interest Period for such portion of the Loan) over (B) the amount of interest that would accrue on the principal amount of such portion of the Loan for the same period if the </w:t>
      </w:r>
      <w:r w:rsidRPr="00E00372">
        <w:rPr>
          <w:b/>
          <w:sz w:val="22"/>
          <w:szCs w:val="22"/>
        </w:rPr>
        <w:t>[LIBOR Index Rate] [</w:t>
      </w:r>
      <w:r w:rsidRPr="00E00372">
        <w:rPr>
          <w:rFonts w:eastAsia="Batang"/>
          <w:b/>
          <w:w w:val="0"/>
          <w:sz w:val="22"/>
          <w:szCs w:val="22"/>
        </w:rPr>
        <w:t>Adjusted LIBOR Rate]</w:t>
      </w:r>
      <w:r w:rsidRPr="00E00372">
        <w:rPr>
          <w:rFonts w:eastAsia="Batang"/>
          <w:color w:val="000000"/>
          <w:w w:val="0"/>
          <w:sz w:val="22"/>
          <w:szCs w:val="22"/>
        </w:rPr>
        <w:t xml:space="preserve"> </w:t>
      </w:r>
      <w:r w:rsidRPr="00E00372">
        <w:rPr>
          <w:rFonts w:eastAsia="Batang"/>
          <w:color w:val="000000"/>
          <w:w w:val="0"/>
          <w:sz w:val="22"/>
          <w:szCs w:val="22"/>
          <w:highlight w:val="cyan"/>
        </w:rPr>
        <w:t>or the Replacement Rate, as applicable,</w:t>
      </w:r>
      <w:r w:rsidRPr="00E00372">
        <w:rPr>
          <w:rFonts w:eastAsia="Batang"/>
          <w:color w:val="000000"/>
          <w:w w:val="0"/>
          <w:sz w:val="22"/>
          <w:szCs w:val="22"/>
        </w:rPr>
        <w:t xml:space="preserve"> </w:t>
      </w:r>
      <w:r w:rsidRPr="00E00372">
        <w:rPr>
          <w:sz w:val="22"/>
          <w:szCs w:val="22"/>
        </w:rPr>
        <w:t xml:space="preserve">were set on the date such portion of the Loan was prepaid or the date on which Borrower failed to borrow such portion of the Loan.  A certificate as to any additional amount payable under this </w:t>
      </w:r>
      <w:r w:rsidRPr="00E00372">
        <w:rPr>
          <w:sz w:val="22"/>
          <w:szCs w:val="22"/>
          <w:u w:val="single"/>
        </w:rPr>
        <w:t>Section 2.15</w:t>
      </w:r>
      <w:r w:rsidRPr="00E00372">
        <w:rPr>
          <w:sz w:val="22"/>
          <w:szCs w:val="22"/>
        </w:rPr>
        <w:t xml:space="preserve"> submitted to Borrower by any Lender (with a copy to Administrative Agent) shall be conclusive, absent manifest error.</w:t>
      </w:r>
    </w:p>
    <w:p w14:paraId="326FD443" w14:textId="77777777" w:rsidR="005B380F" w:rsidRPr="00E00372" w:rsidRDefault="005B380F" w:rsidP="005B380F">
      <w:pPr>
        <w:rPr>
          <w:sz w:val="22"/>
          <w:szCs w:val="22"/>
        </w:rPr>
      </w:pPr>
    </w:p>
    <w:p w14:paraId="31A13665" w14:textId="5E41597C" w:rsidR="000B1698" w:rsidRDefault="000B1698">
      <w:pPr>
        <w:widowControl/>
        <w:rPr>
          <w:b/>
          <w:sz w:val="22"/>
          <w:szCs w:val="22"/>
          <w:u w:val="single"/>
        </w:rPr>
      </w:pPr>
      <w:r>
        <w:rPr>
          <w:sz w:val="22"/>
          <w:szCs w:val="22"/>
          <w:u w:val="single"/>
        </w:rPr>
        <w:br w:type="page"/>
      </w:r>
    </w:p>
    <w:p w14:paraId="613E1997" w14:textId="260142CF" w:rsidR="000B1698" w:rsidRDefault="000B1698" w:rsidP="000B1698">
      <w:pPr>
        <w:pStyle w:val="BodyText"/>
        <w:spacing w:after="220"/>
        <w:jc w:val="center"/>
        <w:rPr>
          <w:sz w:val="22"/>
          <w:szCs w:val="22"/>
          <w:u w:val="single"/>
        </w:rPr>
      </w:pPr>
      <w:r>
        <w:rPr>
          <w:sz w:val="22"/>
          <w:szCs w:val="22"/>
          <w:u w:val="single"/>
        </w:rPr>
        <w:lastRenderedPageBreak/>
        <w:t>Exhibit B</w:t>
      </w:r>
    </w:p>
    <w:p w14:paraId="0C12E05D" w14:textId="7FA4FC7B" w:rsidR="007609CE" w:rsidRDefault="000B1698" w:rsidP="00FD2DAA">
      <w:pPr>
        <w:pStyle w:val="BodyText"/>
        <w:spacing w:after="220"/>
        <w:jc w:val="center"/>
        <w:rPr>
          <w:sz w:val="22"/>
          <w:szCs w:val="22"/>
        </w:rPr>
      </w:pPr>
      <w:r>
        <w:rPr>
          <w:sz w:val="22"/>
          <w:szCs w:val="22"/>
        </w:rPr>
        <w:t>Updated HVCRE Exemption Provisions</w:t>
      </w:r>
    </w:p>
    <w:p w14:paraId="7776EB39" w14:textId="51F3F249" w:rsidR="00206803" w:rsidRDefault="00206803" w:rsidP="00FD2DAA">
      <w:pPr>
        <w:pStyle w:val="BodyText"/>
        <w:spacing w:after="220"/>
        <w:jc w:val="center"/>
        <w:rPr>
          <w:sz w:val="22"/>
          <w:szCs w:val="22"/>
        </w:rPr>
      </w:pPr>
    </w:p>
    <w:p w14:paraId="6FB48637" w14:textId="7CB89C8B" w:rsidR="00206803" w:rsidRPr="00220F82" w:rsidRDefault="00206803" w:rsidP="00206803">
      <w:pPr>
        <w:jc w:val="both"/>
        <w:rPr>
          <w:b/>
          <w:bCs/>
          <w:color w:val="C00000"/>
          <w:szCs w:val="24"/>
        </w:rPr>
      </w:pPr>
      <w:r w:rsidRPr="00220F82">
        <w:rPr>
          <w:b/>
          <w:bCs/>
          <w:i/>
          <w:iCs/>
          <w:color w:val="C00000"/>
          <w:szCs w:val="24"/>
        </w:rPr>
        <w:t>Add</w:t>
      </w:r>
      <w:r w:rsidR="00861876" w:rsidRPr="00220F82">
        <w:rPr>
          <w:b/>
          <w:bCs/>
          <w:i/>
          <w:iCs/>
          <w:color w:val="C00000"/>
          <w:szCs w:val="24"/>
        </w:rPr>
        <w:t>ed</w:t>
      </w:r>
      <w:r w:rsidRPr="00220F82">
        <w:rPr>
          <w:b/>
          <w:bCs/>
          <w:i/>
          <w:iCs/>
          <w:color w:val="C00000"/>
          <w:szCs w:val="24"/>
        </w:rPr>
        <w:t xml:space="preserve"> definition</w:t>
      </w:r>
      <w:r w:rsidR="00861876" w:rsidRPr="00220F82">
        <w:rPr>
          <w:b/>
          <w:bCs/>
          <w:i/>
          <w:iCs/>
          <w:color w:val="C00000"/>
          <w:szCs w:val="24"/>
        </w:rPr>
        <w:t xml:space="preserve"> for</w:t>
      </w:r>
      <w:r w:rsidRPr="00220F82">
        <w:rPr>
          <w:b/>
          <w:bCs/>
          <w:i/>
          <w:iCs/>
          <w:color w:val="C00000"/>
          <w:szCs w:val="24"/>
        </w:rPr>
        <w:t xml:space="preserve"> Construction Loan Agreements:</w:t>
      </w:r>
    </w:p>
    <w:p w14:paraId="7B8DE835" w14:textId="77777777" w:rsidR="00206803" w:rsidRPr="00220F82" w:rsidRDefault="00206803" w:rsidP="00206803">
      <w:pPr>
        <w:jc w:val="both"/>
        <w:rPr>
          <w:b/>
          <w:bCs/>
          <w:color w:val="C00000"/>
          <w:szCs w:val="24"/>
        </w:rPr>
      </w:pPr>
    </w:p>
    <w:p w14:paraId="0E123FC1" w14:textId="77777777" w:rsidR="00206803" w:rsidRPr="00691F8C" w:rsidRDefault="00206803" w:rsidP="00206803">
      <w:pPr>
        <w:jc w:val="both"/>
        <w:rPr>
          <w:color w:val="000000" w:themeColor="text1"/>
          <w:szCs w:val="24"/>
        </w:rPr>
      </w:pPr>
      <w:r w:rsidRPr="00691F8C">
        <w:rPr>
          <w:b/>
          <w:bCs/>
          <w:color w:val="000000" w:themeColor="text1"/>
          <w:szCs w:val="24"/>
        </w:rPr>
        <w:t>“Equity Maintenance Requirement”</w:t>
      </w:r>
      <w:r w:rsidRPr="00691F8C">
        <w:rPr>
          <w:color w:val="000000" w:themeColor="text1"/>
          <w:szCs w:val="24"/>
        </w:rPr>
        <w:t xml:space="preserve"> means the requirement that Borrower maintain a minimum capital contribution invested in the Project of at least:  (</w:t>
      </w:r>
      <w:proofErr w:type="spellStart"/>
      <w:r w:rsidRPr="00691F8C">
        <w:rPr>
          <w:color w:val="000000" w:themeColor="text1"/>
          <w:szCs w:val="24"/>
        </w:rPr>
        <w:t>i</w:t>
      </w:r>
      <w:proofErr w:type="spellEnd"/>
      <w:r w:rsidRPr="00691F8C">
        <w:rPr>
          <w:color w:val="000000" w:themeColor="text1"/>
          <w:szCs w:val="24"/>
        </w:rPr>
        <w:t xml:space="preserve">) _____________ </w:t>
      </w:r>
      <w:r>
        <w:rPr>
          <w:color w:val="000000" w:themeColor="text1"/>
          <w:szCs w:val="24"/>
        </w:rPr>
        <w:t xml:space="preserve"> (which amount is equal to 15% of the Property’s appraised, “as completed” value, as determined by Lender)</w:t>
      </w:r>
      <w:r w:rsidRPr="00861876">
        <w:rPr>
          <w:rStyle w:val="FootnoteReference"/>
          <w:bCs/>
          <w:iCs/>
          <w:szCs w:val="24"/>
          <w:vertAlign w:val="superscript"/>
        </w:rPr>
        <w:footnoteReference w:id="9"/>
      </w:r>
      <w:r w:rsidRPr="00861876">
        <w:rPr>
          <w:color w:val="000000" w:themeColor="text1"/>
          <w:szCs w:val="24"/>
          <w:vertAlign w:val="superscript"/>
        </w:rPr>
        <w:t>,</w:t>
      </w:r>
      <w:r w:rsidRPr="00691F8C">
        <w:rPr>
          <w:color w:val="000000" w:themeColor="text1"/>
          <w:szCs w:val="24"/>
        </w:rPr>
        <w:t xml:space="preserve"> </w:t>
      </w:r>
      <w:r w:rsidRPr="00691F8C">
        <w:rPr>
          <w:color w:val="000000" w:themeColor="text1"/>
          <w:szCs w:val="24"/>
          <w:u w:val="single"/>
        </w:rPr>
        <w:t>plus</w:t>
      </w:r>
      <w:r w:rsidRPr="00691F8C">
        <w:rPr>
          <w:color w:val="000000" w:themeColor="text1"/>
          <w:szCs w:val="24"/>
        </w:rPr>
        <w:t xml:space="preserve"> (ii) any </w:t>
      </w:r>
      <w:r w:rsidRPr="00EF2C37">
        <w:rPr>
          <w:color w:val="000000" w:themeColor="text1"/>
          <w:szCs w:val="24"/>
        </w:rPr>
        <w:t>additional capital required pursuant to Section 2.2(d)(ii) hereof</w:t>
      </w:r>
      <w:r w:rsidRPr="00EF2C37">
        <w:rPr>
          <w:bCs/>
          <w:iCs/>
          <w:color w:val="000000" w:themeColor="text1"/>
          <w:szCs w:val="24"/>
        </w:rPr>
        <w:t>,</w:t>
      </w:r>
      <w:r w:rsidRPr="00EF2C37">
        <w:rPr>
          <w:color w:val="000000" w:themeColor="text1"/>
          <w:szCs w:val="24"/>
        </w:rPr>
        <w:t>  such that the Loan will not constitute an “</w:t>
      </w:r>
      <w:r w:rsidRPr="00EF2C37">
        <w:rPr>
          <w:i/>
          <w:iCs/>
          <w:color w:val="000000" w:themeColor="text1"/>
          <w:szCs w:val="24"/>
        </w:rPr>
        <w:t>HVCRE ADC loan</w:t>
      </w:r>
      <w:r w:rsidRPr="00EF2C37">
        <w:rPr>
          <w:color w:val="000000" w:themeColor="text1"/>
          <w:szCs w:val="24"/>
        </w:rPr>
        <w:t xml:space="preserve">” pursuant to </w:t>
      </w:r>
      <w:r w:rsidRPr="00EF2C37">
        <w:rPr>
          <w:szCs w:val="24"/>
        </w:rPr>
        <w:t xml:space="preserve">Section 51 of </w:t>
      </w:r>
      <w:r w:rsidRPr="00EF2C37">
        <w:rPr>
          <w:color w:val="000000" w:themeColor="text1"/>
          <w:szCs w:val="24"/>
        </w:rPr>
        <w:t>The Federal Deposit Insurance Act (12 U.S.C. 1811 et seq.).</w:t>
      </w:r>
      <w:r w:rsidRPr="00691F8C">
        <w:rPr>
          <w:color w:val="000000" w:themeColor="text1"/>
          <w:szCs w:val="24"/>
        </w:rPr>
        <w:t>  For purposes of this definition, “capital” shall mean cash, unencumbered readily marketable assets, paid development expenses out-of-pocket, or contributed real property or improvements.</w:t>
      </w:r>
    </w:p>
    <w:p w14:paraId="6D248463" w14:textId="77777777" w:rsidR="00206803" w:rsidRPr="00691F8C" w:rsidRDefault="00206803" w:rsidP="00206803">
      <w:pPr>
        <w:jc w:val="both"/>
        <w:rPr>
          <w:color w:val="000000" w:themeColor="text1"/>
          <w:szCs w:val="24"/>
        </w:rPr>
      </w:pPr>
    </w:p>
    <w:p w14:paraId="2CF7A96D" w14:textId="6C70291B" w:rsidR="00206803" w:rsidRPr="00220F82" w:rsidRDefault="00861876" w:rsidP="00206803">
      <w:pPr>
        <w:jc w:val="both"/>
        <w:rPr>
          <w:b/>
          <w:i/>
          <w:iCs/>
          <w:color w:val="C00000"/>
          <w:szCs w:val="24"/>
        </w:rPr>
      </w:pPr>
      <w:r w:rsidRPr="00220F82">
        <w:rPr>
          <w:b/>
          <w:i/>
          <w:iCs/>
          <w:color w:val="C00000"/>
          <w:szCs w:val="24"/>
        </w:rPr>
        <w:t>Added definition for</w:t>
      </w:r>
      <w:r w:rsidR="00206803" w:rsidRPr="00220F82">
        <w:rPr>
          <w:b/>
          <w:i/>
          <w:iCs/>
          <w:color w:val="C00000"/>
          <w:szCs w:val="24"/>
        </w:rPr>
        <w:t xml:space="preserve"> Term Loan Agreements:</w:t>
      </w:r>
    </w:p>
    <w:p w14:paraId="342B7DF6" w14:textId="77777777" w:rsidR="00206803" w:rsidRDefault="00206803" w:rsidP="00206803">
      <w:pPr>
        <w:jc w:val="both"/>
        <w:rPr>
          <w:b/>
          <w:i/>
          <w:iCs/>
          <w:color w:val="000000" w:themeColor="text1"/>
          <w:szCs w:val="24"/>
        </w:rPr>
      </w:pPr>
    </w:p>
    <w:p w14:paraId="038C0529" w14:textId="77777777" w:rsidR="00206803" w:rsidRPr="00454B09" w:rsidRDefault="00206803" w:rsidP="00206803">
      <w:pPr>
        <w:jc w:val="both"/>
        <w:rPr>
          <w:b/>
          <w:i/>
          <w:color w:val="000000" w:themeColor="text1"/>
          <w:szCs w:val="24"/>
          <w:u w:val="single"/>
        </w:rPr>
      </w:pPr>
      <w:r w:rsidRPr="00691F8C">
        <w:rPr>
          <w:b/>
          <w:bCs/>
          <w:color w:val="000000" w:themeColor="text1"/>
          <w:szCs w:val="24"/>
        </w:rPr>
        <w:t>“Equity Maintenance Requirement”</w:t>
      </w:r>
      <w:r w:rsidRPr="00691F8C">
        <w:rPr>
          <w:color w:val="000000" w:themeColor="text1"/>
          <w:szCs w:val="24"/>
        </w:rPr>
        <w:t xml:space="preserve"> means the requirement that Borrower maintain a minimum capital contribution invested i</w:t>
      </w:r>
      <w:r>
        <w:rPr>
          <w:color w:val="000000" w:themeColor="text1"/>
          <w:szCs w:val="24"/>
        </w:rPr>
        <w:t xml:space="preserve">n the Project of at least </w:t>
      </w:r>
      <w:r w:rsidRPr="00691F8C">
        <w:rPr>
          <w:color w:val="000000" w:themeColor="text1"/>
          <w:szCs w:val="24"/>
        </w:rPr>
        <w:t>____________</w:t>
      </w:r>
      <w:proofErr w:type="gramStart"/>
      <w:r w:rsidRPr="00691F8C">
        <w:rPr>
          <w:color w:val="000000" w:themeColor="text1"/>
          <w:szCs w:val="24"/>
        </w:rPr>
        <w:t>_</w:t>
      </w:r>
      <w:r>
        <w:rPr>
          <w:color w:val="000000" w:themeColor="text1"/>
          <w:szCs w:val="24"/>
        </w:rPr>
        <w:t>(</w:t>
      </w:r>
      <w:proofErr w:type="gramEnd"/>
      <w:r>
        <w:rPr>
          <w:color w:val="000000" w:themeColor="text1"/>
          <w:szCs w:val="24"/>
        </w:rPr>
        <w:t>which amount is equal to 15% of the Property’s appraised, “as completed” value, as determined by Lender)</w:t>
      </w:r>
      <w:r w:rsidRPr="00861876">
        <w:rPr>
          <w:rStyle w:val="FootnoteReference"/>
          <w:bCs/>
          <w:iCs/>
          <w:szCs w:val="24"/>
          <w:vertAlign w:val="superscript"/>
        </w:rPr>
        <w:footnoteReference w:id="10"/>
      </w:r>
      <w:r w:rsidRPr="00EF2C37">
        <w:rPr>
          <w:bCs/>
          <w:iCs/>
          <w:color w:val="000000" w:themeColor="text1"/>
          <w:szCs w:val="24"/>
        </w:rPr>
        <w:t>,</w:t>
      </w:r>
      <w:r>
        <w:rPr>
          <w:color w:val="000000" w:themeColor="text1"/>
          <w:szCs w:val="24"/>
        </w:rPr>
        <w:t> </w:t>
      </w:r>
      <w:r w:rsidRPr="00EF2C37">
        <w:rPr>
          <w:color w:val="000000" w:themeColor="text1"/>
          <w:szCs w:val="24"/>
        </w:rPr>
        <w:t>such that the Loan will not constitute an “</w:t>
      </w:r>
      <w:r w:rsidRPr="00EF2C37">
        <w:rPr>
          <w:i/>
          <w:iCs/>
          <w:color w:val="000000" w:themeColor="text1"/>
          <w:szCs w:val="24"/>
        </w:rPr>
        <w:t>HVCRE ADC loan</w:t>
      </w:r>
      <w:r w:rsidRPr="00EF2C37">
        <w:rPr>
          <w:color w:val="000000" w:themeColor="text1"/>
          <w:szCs w:val="24"/>
        </w:rPr>
        <w:t xml:space="preserve">” pursuant to </w:t>
      </w:r>
      <w:r w:rsidRPr="00EF2C37">
        <w:rPr>
          <w:szCs w:val="24"/>
        </w:rPr>
        <w:t xml:space="preserve">Section 51 of </w:t>
      </w:r>
      <w:r w:rsidRPr="00EF2C37">
        <w:rPr>
          <w:color w:val="000000" w:themeColor="text1"/>
          <w:szCs w:val="24"/>
        </w:rPr>
        <w:t>The Federal Deposit Insurance Act (12 U.S.C. 1811 et seq.).</w:t>
      </w:r>
      <w:r w:rsidRPr="00691F8C">
        <w:rPr>
          <w:color w:val="000000" w:themeColor="text1"/>
          <w:szCs w:val="24"/>
        </w:rPr>
        <w:t>  For purposes of this definition, “capital” shall mean cash, unencumbered readily marketable assets, paid development expenses out-of-pocket, or contributed real property or improvements.</w:t>
      </w:r>
      <w:r>
        <w:rPr>
          <w:color w:val="000000" w:themeColor="text1"/>
          <w:szCs w:val="24"/>
        </w:rPr>
        <w:t xml:space="preserve">  </w:t>
      </w:r>
    </w:p>
    <w:p w14:paraId="2DAEB19D" w14:textId="77777777" w:rsidR="00206803" w:rsidRPr="00642957" w:rsidRDefault="00206803" w:rsidP="00206803">
      <w:pPr>
        <w:jc w:val="both"/>
        <w:rPr>
          <w:b/>
          <w:i/>
          <w:iCs/>
          <w:color w:val="000000" w:themeColor="text1"/>
          <w:szCs w:val="24"/>
        </w:rPr>
      </w:pPr>
    </w:p>
    <w:p w14:paraId="21E0A4F6" w14:textId="77777777" w:rsidR="00206803" w:rsidRPr="00220F82" w:rsidRDefault="00206803" w:rsidP="00206803">
      <w:pPr>
        <w:jc w:val="both"/>
        <w:rPr>
          <w:i/>
          <w:iCs/>
          <w:color w:val="C00000"/>
          <w:szCs w:val="24"/>
        </w:rPr>
      </w:pPr>
      <w:r w:rsidRPr="00220F82">
        <w:rPr>
          <w:b/>
          <w:bCs/>
          <w:i/>
          <w:iCs/>
          <w:color w:val="C00000"/>
          <w:szCs w:val="24"/>
        </w:rPr>
        <w:t>Affirmative Covenant</w:t>
      </w:r>
      <w:r w:rsidRPr="00220F82">
        <w:rPr>
          <w:i/>
          <w:iCs/>
          <w:color w:val="C00000"/>
          <w:szCs w:val="24"/>
        </w:rPr>
        <w:t>:</w:t>
      </w:r>
    </w:p>
    <w:p w14:paraId="42252B70" w14:textId="77777777" w:rsidR="00206803" w:rsidRDefault="00206803" w:rsidP="00206803">
      <w:pPr>
        <w:jc w:val="both"/>
        <w:rPr>
          <w:i/>
          <w:iCs/>
          <w:color w:val="000000" w:themeColor="text1"/>
          <w:szCs w:val="24"/>
        </w:rPr>
      </w:pPr>
    </w:p>
    <w:p w14:paraId="270038C3" w14:textId="5C2AE7C4" w:rsidR="00206803" w:rsidRPr="0015340C" w:rsidRDefault="00900AF6" w:rsidP="00206803">
      <w:pPr>
        <w:jc w:val="both"/>
        <w:rPr>
          <w:b/>
          <w:i/>
          <w:iCs/>
          <w:color w:val="000000" w:themeColor="text1"/>
          <w:szCs w:val="24"/>
          <w:u w:val="single"/>
        </w:rPr>
      </w:pPr>
      <w:r>
        <w:rPr>
          <w:b/>
          <w:i/>
          <w:iCs/>
          <w:color w:val="000000" w:themeColor="text1"/>
          <w:szCs w:val="24"/>
        </w:rPr>
        <w:t>Revised Section 6.3</w:t>
      </w:r>
      <w:r w:rsidR="00206803">
        <w:rPr>
          <w:b/>
          <w:i/>
          <w:iCs/>
          <w:color w:val="000000" w:themeColor="text1"/>
          <w:szCs w:val="24"/>
        </w:rPr>
        <w:t xml:space="preserve"> (this</w:t>
      </w:r>
      <w:r>
        <w:rPr>
          <w:b/>
          <w:i/>
          <w:iCs/>
          <w:color w:val="000000" w:themeColor="text1"/>
          <w:szCs w:val="24"/>
        </w:rPr>
        <w:t xml:space="preserve"> is</w:t>
      </w:r>
      <w:r w:rsidR="00206803">
        <w:rPr>
          <w:b/>
          <w:i/>
          <w:iCs/>
          <w:color w:val="000000" w:themeColor="text1"/>
          <w:szCs w:val="24"/>
        </w:rPr>
        <w:t xml:space="preserve"> Section 6.2 in term loan agreements):</w:t>
      </w:r>
    </w:p>
    <w:p w14:paraId="4E8E58D8" w14:textId="77777777" w:rsidR="00206803" w:rsidRPr="00691F8C" w:rsidRDefault="00206803" w:rsidP="00206803">
      <w:pPr>
        <w:jc w:val="both"/>
        <w:rPr>
          <w:i/>
          <w:iCs/>
          <w:color w:val="000000" w:themeColor="text1"/>
          <w:szCs w:val="24"/>
          <w:u w:val="single"/>
        </w:rPr>
      </w:pPr>
    </w:p>
    <w:p w14:paraId="45F345AA" w14:textId="77777777" w:rsidR="00206803" w:rsidRPr="00691F8C" w:rsidRDefault="00206803" w:rsidP="00206803">
      <w:pPr>
        <w:jc w:val="both"/>
        <w:rPr>
          <w:b/>
          <w:bCs/>
          <w:color w:val="000000" w:themeColor="text1"/>
          <w:szCs w:val="24"/>
          <w:u w:val="single"/>
        </w:rPr>
      </w:pPr>
      <w:r w:rsidRPr="00691F8C">
        <w:rPr>
          <w:b/>
          <w:bCs/>
          <w:color w:val="000000" w:themeColor="text1"/>
          <w:szCs w:val="24"/>
          <w:u w:val="single"/>
        </w:rPr>
        <w:t>Section 6.3</w:t>
      </w:r>
      <w:proofErr w:type="gramStart"/>
      <w:r w:rsidRPr="00691F8C">
        <w:rPr>
          <w:b/>
          <w:bCs/>
          <w:color w:val="000000" w:themeColor="text1"/>
          <w:szCs w:val="24"/>
          <w:u w:val="single"/>
        </w:rPr>
        <w:t>  Equity</w:t>
      </w:r>
      <w:proofErr w:type="gramEnd"/>
      <w:r w:rsidRPr="00691F8C">
        <w:rPr>
          <w:b/>
          <w:bCs/>
          <w:color w:val="000000" w:themeColor="text1"/>
          <w:szCs w:val="24"/>
          <w:u w:val="single"/>
        </w:rPr>
        <w:t xml:space="preserve"> Maintenance.</w:t>
      </w:r>
    </w:p>
    <w:p w14:paraId="20C45384" w14:textId="77777777" w:rsidR="00206803" w:rsidRPr="00691F8C" w:rsidRDefault="00206803" w:rsidP="00206803">
      <w:pPr>
        <w:jc w:val="both"/>
        <w:rPr>
          <w:i/>
          <w:iCs/>
          <w:color w:val="000000" w:themeColor="text1"/>
          <w:szCs w:val="24"/>
          <w:u w:val="single"/>
        </w:rPr>
      </w:pPr>
    </w:p>
    <w:p w14:paraId="26C4B0BE" w14:textId="77777777" w:rsidR="00206803" w:rsidRPr="00691F8C" w:rsidRDefault="00206803" w:rsidP="00206803">
      <w:pPr>
        <w:jc w:val="both"/>
        <w:rPr>
          <w:color w:val="000000" w:themeColor="text1"/>
          <w:szCs w:val="24"/>
        </w:rPr>
      </w:pPr>
      <w:r w:rsidRPr="00691F8C">
        <w:rPr>
          <w:color w:val="000000" w:themeColor="text1"/>
          <w:szCs w:val="24"/>
        </w:rPr>
        <w:t xml:space="preserve">Borrower shall satisfy the Equity Maintenance Requirement at all times during the term of the Loan, until such time as Lender in its sole discretion may determine that Lender is permitted to reclassify the Loan as a non-HVCRE ADC loan pursuant to </w:t>
      </w:r>
      <w:r w:rsidRPr="00EF2C37">
        <w:rPr>
          <w:szCs w:val="24"/>
        </w:rPr>
        <w:t xml:space="preserve">Section 51 of </w:t>
      </w:r>
      <w:r w:rsidRPr="00EF2C37">
        <w:rPr>
          <w:color w:val="000000" w:themeColor="text1"/>
          <w:szCs w:val="24"/>
        </w:rPr>
        <w:t>The Federal Deposit Insurance Act (12 U.S.C. 1811 et seq.).</w:t>
      </w:r>
      <w:r w:rsidRPr="00691F8C">
        <w:rPr>
          <w:color w:val="000000" w:themeColor="text1"/>
          <w:szCs w:val="24"/>
        </w:rPr>
        <w:t>   Within ten (10) Business Days of Lender’s request from time to time, Borrower shall provide a certification to the Lender, in form and substance acceptable to Lender, confirming the Borrower’s compliance with the provisions of this Section 6.3, supported by appropriate calculations and documentation.</w:t>
      </w:r>
    </w:p>
    <w:p w14:paraId="62BD2EEE" w14:textId="77777777" w:rsidR="00206803" w:rsidRPr="00691F8C" w:rsidRDefault="00206803" w:rsidP="00206803">
      <w:pPr>
        <w:jc w:val="both"/>
        <w:rPr>
          <w:color w:val="000000" w:themeColor="text1"/>
          <w:szCs w:val="24"/>
        </w:rPr>
      </w:pPr>
    </w:p>
    <w:p w14:paraId="0EBE4C5C" w14:textId="4E0C23DA" w:rsidR="00206803" w:rsidRDefault="00206803" w:rsidP="00206803">
      <w:pPr>
        <w:jc w:val="both"/>
        <w:rPr>
          <w:b/>
          <w:bCs/>
          <w:i/>
          <w:iCs/>
          <w:color w:val="C00000"/>
          <w:szCs w:val="24"/>
        </w:rPr>
      </w:pPr>
      <w:r w:rsidRPr="00900AF6">
        <w:rPr>
          <w:b/>
          <w:bCs/>
          <w:i/>
          <w:iCs/>
          <w:color w:val="C00000"/>
          <w:szCs w:val="24"/>
        </w:rPr>
        <w:t>Negative Covenant:</w:t>
      </w:r>
    </w:p>
    <w:p w14:paraId="42C830A5" w14:textId="393776B9" w:rsidR="00900AF6" w:rsidRDefault="00900AF6" w:rsidP="00206803">
      <w:pPr>
        <w:jc w:val="both"/>
        <w:rPr>
          <w:b/>
          <w:bCs/>
          <w:i/>
          <w:iCs/>
          <w:color w:val="C00000"/>
          <w:szCs w:val="24"/>
        </w:rPr>
      </w:pPr>
    </w:p>
    <w:p w14:paraId="1FD25F4A" w14:textId="5AD4F8F1" w:rsidR="00900AF6" w:rsidRPr="00900AF6" w:rsidRDefault="00900AF6" w:rsidP="00206803">
      <w:pPr>
        <w:jc w:val="both"/>
        <w:rPr>
          <w:b/>
          <w:bCs/>
          <w:i/>
          <w:iCs/>
          <w:color w:val="000000" w:themeColor="text1"/>
          <w:szCs w:val="24"/>
        </w:rPr>
      </w:pPr>
      <w:r w:rsidRPr="00900AF6">
        <w:rPr>
          <w:b/>
          <w:bCs/>
          <w:i/>
          <w:iCs/>
          <w:color w:val="000000" w:themeColor="text1"/>
          <w:szCs w:val="24"/>
        </w:rPr>
        <w:t>Revised Section 7.8(b):</w:t>
      </w:r>
    </w:p>
    <w:p w14:paraId="35842E7A" w14:textId="77777777" w:rsidR="00206803" w:rsidRPr="00900AF6" w:rsidRDefault="00206803" w:rsidP="00206803">
      <w:pPr>
        <w:jc w:val="both"/>
        <w:rPr>
          <w:b/>
          <w:bCs/>
          <w:color w:val="C00000"/>
          <w:szCs w:val="24"/>
        </w:rPr>
      </w:pPr>
    </w:p>
    <w:p w14:paraId="2AF7DBFB" w14:textId="0686EBF5" w:rsidR="00206803" w:rsidRDefault="00206803" w:rsidP="00206803">
      <w:pPr>
        <w:pStyle w:val="Heading2"/>
        <w:numPr>
          <w:ilvl w:val="0"/>
          <w:numId w:val="0"/>
        </w:numPr>
        <w:tabs>
          <w:tab w:val="left" w:pos="720"/>
        </w:tabs>
        <w:ind w:left="90"/>
        <w:rPr>
          <w:color w:val="000000" w:themeColor="text1"/>
        </w:rPr>
      </w:pPr>
      <w:bookmarkStart w:id="14" w:name="_Toc413787118"/>
      <w:proofErr w:type="gramStart"/>
      <w:r w:rsidRPr="001F298F">
        <w:rPr>
          <w:color w:val="000000" w:themeColor="text1"/>
        </w:rPr>
        <w:t>Section 7.8.</w:t>
      </w:r>
      <w:proofErr w:type="gramEnd"/>
      <w:r w:rsidRPr="001F298F">
        <w:rPr>
          <w:color w:val="000000" w:themeColor="text1"/>
        </w:rPr>
        <w:t xml:space="preserve">  </w:t>
      </w:r>
      <w:proofErr w:type="gramStart"/>
      <w:r w:rsidRPr="001F298F">
        <w:rPr>
          <w:color w:val="000000" w:themeColor="text1"/>
        </w:rPr>
        <w:t>Limitations on Distributions.</w:t>
      </w:r>
      <w:bookmarkEnd w:id="14"/>
      <w:proofErr w:type="gramEnd"/>
    </w:p>
    <w:p w14:paraId="0116DA7E" w14:textId="60739E6A" w:rsidR="00900AF6" w:rsidRPr="00900AF6" w:rsidRDefault="00900AF6" w:rsidP="00900AF6">
      <w:pPr>
        <w:pStyle w:val="BodyText"/>
      </w:pPr>
      <w:r>
        <w:t xml:space="preserve"> …………….</w:t>
      </w:r>
    </w:p>
    <w:p w14:paraId="18A1A27E" w14:textId="0F55B175" w:rsidR="00206803" w:rsidRPr="00D51EFD" w:rsidRDefault="00206803" w:rsidP="00900AF6">
      <w:pPr>
        <w:pStyle w:val="Heading3"/>
        <w:rPr>
          <w:b/>
        </w:rPr>
      </w:pPr>
      <w:r w:rsidRPr="00691F8C">
        <w:lastRenderedPageBreak/>
        <w:t xml:space="preserve">Borrower shall not at any time make a Distribution that would violate Borrower’s Equity Maintenance Requirement as set forth in </w:t>
      </w:r>
      <w:r w:rsidRPr="00D51EFD">
        <w:rPr>
          <w:u w:val="single"/>
        </w:rPr>
        <w:t>Section 6.3</w:t>
      </w:r>
      <w:r w:rsidRPr="00691F8C">
        <w:t>.  Within ten (10) Business Days of Lender’s request from time to time, Borrower shall provide a certification to the Lender, in form and substance acceptable to Lender and supported by appropriate documentation, confirming that Borrower has not made any Distribution prohibited by this Section 7.8(b).</w:t>
      </w:r>
      <w:r>
        <w:t xml:space="preserve">  </w:t>
      </w:r>
      <w:r w:rsidRPr="00D51EFD">
        <w:t xml:space="preserve">For the avoidance of doubt, this Section 7.8(b) shall not be deemed to restrict Distributions by Borrower of Net Operating Income generated by the Project, provided Borrower continues to satisfy the covenant in </w:t>
      </w:r>
      <w:r w:rsidRPr="00D51EFD">
        <w:rPr>
          <w:u w:val="single"/>
        </w:rPr>
        <w:t>Section 6.3</w:t>
      </w:r>
      <w:r w:rsidRPr="00D51EFD">
        <w:t>.</w:t>
      </w:r>
    </w:p>
    <w:p w14:paraId="584CF462" w14:textId="77777777" w:rsidR="00937264" w:rsidRDefault="00937264" w:rsidP="00937264">
      <w:pPr>
        <w:pStyle w:val="BodyText"/>
      </w:pPr>
    </w:p>
    <w:p w14:paraId="2488BEEE" w14:textId="21EE9168" w:rsidR="00937264" w:rsidRPr="00C61FA4" w:rsidRDefault="00937264" w:rsidP="00937264">
      <w:pPr>
        <w:pStyle w:val="BodyText"/>
      </w:pPr>
      <w:r>
        <w:t>Defined term “Required Equity” has been removed from Section 3.3(c) in our construction loan agreements and deleted from definitions.</w:t>
      </w:r>
    </w:p>
    <w:p w14:paraId="0BE376BF" w14:textId="77777777" w:rsidR="00206803" w:rsidRPr="00691F8C" w:rsidRDefault="00206803" w:rsidP="00206803">
      <w:pPr>
        <w:pStyle w:val="Heading2"/>
        <w:numPr>
          <w:ilvl w:val="0"/>
          <w:numId w:val="0"/>
        </w:numPr>
        <w:tabs>
          <w:tab w:val="left" w:pos="720"/>
        </w:tabs>
        <w:ind w:left="975"/>
        <w:rPr>
          <w:b w:val="0"/>
          <w:bCs w:val="0"/>
          <w:color w:val="000000" w:themeColor="text1"/>
        </w:rPr>
      </w:pPr>
    </w:p>
    <w:p w14:paraId="304F45FE" w14:textId="7305A48D" w:rsidR="00206803" w:rsidRPr="00454B09" w:rsidRDefault="00206803" w:rsidP="00206803">
      <w:pPr>
        <w:rPr>
          <w:b/>
          <w:i/>
          <w:color w:val="000000" w:themeColor="text1"/>
        </w:rPr>
      </w:pPr>
      <w:r>
        <w:rPr>
          <w:b/>
          <w:i/>
          <w:color w:val="000000" w:themeColor="text1"/>
        </w:rPr>
        <w:t xml:space="preserve">In </w:t>
      </w:r>
      <w:r w:rsidR="00937264">
        <w:rPr>
          <w:b/>
          <w:i/>
          <w:color w:val="000000" w:themeColor="text1"/>
        </w:rPr>
        <w:t>our term loan a</w:t>
      </w:r>
      <w:r>
        <w:rPr>
          <w:b/>
          <w:i/>
          <w:color w:val="000000" w:themeColor="text1"/>
        </w:rPr>
        <w:t>greements, Section 3.1(d)</w:t>
      </w:r>
      <w:r w:rsidR="00C61FA4">
        <w:rPr>
          <w:b/>
          <w:i/>
          <w:color w:val="000000" w:themeColor="text1"/>
        </w:rPr>
        <w:t xml:space="preserve"> is revised</w:t>
      </w:r>
      <w:r>
        <w:rPr>
          <w:b/>
          <w:i/>
          <w:color w:val="000000" w:themeColor="text1"/>
        </w:rPr>
        <w:t xml:space="preserve"> to read as follows:</w:t>
      </w:r>
    </w:p>
    <w:p w14:paraId="6C3CFB7C" w14:textId="77777777" w:rsidR="00206803" w:rsidRDefault="00206803" w:rsidP="00206803">
      <w:pPr>
        <w:rPr>
          <w:color w:val="000000" w:themeColor="text1"/>
        </w:rPr>
      </w:pPr>
    </w:p>
    <w:p w14:paraId="7A88B88F" w14:textId="24CEF0EA" w:rsidR="00206803" w:rsidRDefault="00206803" w:rsidP="00206803">
      <w:pPr>
        <w:pStyle w:val="Heading3"/>
        <w:rPr>
          <w:b/>
          <w:sz w:val="22"/>
          <w:szCs w:val="22"/>
        </w:rPr>
      </w:pPr>
      <w:r w:rsidRPr="004E787F">
        <w:rPr>
          <w:b/>
          <w:sz w:val="22"/>
          <w:szCs w:val="22"/>
        </w:rPr>
        <w:t xml:space="preserve">[Lender shall have received reasonably satisfactory evidence </w:t>
      </w:r>
      <w:r>
        <w:rPr>
          <w:b/>
          <w:sz w:val="22"/>
          <w:szCs w:val="22"/>
        </w:rPr>
        <w:t>of Borrower’s satisfaction of the Equity Maintenance Requirement.]</w:t>
      </w:r>
    </w:p>
    <w:p w14:paraId="31FD0A5D" w14:textId="02D95DEB" w:rsidR="00C61FA4" w:rsidRDefault="00C61FA4" w:rsidP="00C61FA4">
      <w:pPr>
        <w:pStyle w:val="BodyText"/>
      </w:pPr>
    </w:p>
    <w:p w14:paraId="6A1D312B" w14:textId="77777777" w:rsidR="00206803" w:rsidRPr="00691F8C" w:rsidRDefault="00206803" w:rsidP="00206803">
      <w:pPr>
        <w:rPr>
          <w:color w:val="000000" w:themeColor="text1"/>
        </w:rPr>
      </w:pPr>
    </w:p>
    <w:p w14:paraId="16A2AAD8" w14:textId="77777777" w:rsidR="00206803" w:rsidRPr="000B1698" w:rsidRDefault="00206803" w:rsidP="00FD2DAA">
      <w:pPr>
        <w:pStyle w:val="BodyText"/>
        <w:spacing w:after="220"/>
        <w:jc w:val="center"/>
        <w:rPr>
          <w:sz w:val="22"/>
          <w:szCs w:val="22"/>
        </w:rPr>
      </w:pPr>
    </w:p>
    <w:sectPr w:rsidR="00206803" w:rsidRPr="000B1698" w:rsidSect="003466BD">
      <w:footerReference w:type="default" r:id="rId10"/>
      <w:footerReference w:type="first" r:id="rId11"/>
      <w:endnotePr>
        <w:numFmt w:val="decimal"/>
      </w:endnotePr>
      <w:pgSz w:w="12240" w:h="15840" w:code="1"/>
      <w:pgMar w:top="720" w:right="576" w:bottom="576" w:left="1152"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C6DE4" w14:textId="77777777" w:rsidR="00A245D5" w:rsidRDefault="00A245D5">
      <w:r>
        <w:separator/>
      </w:r>
    </w:p>
  </w:endnote>
  <w:endnote w:type="continuationSeparator" w:id="0">
    <w:p w14:paraId="34965052" w14:textId="77777777" w:rsidR="00A245D5" w:rsidRDefault="00A2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14:paraId="4876A578" w14:textId="0EFEE329" w:rsidR="00C77C71" w:rsidRDefault="009244A7">
        <w:pPr>
          <w:pStyle w:val="Footer"/>
          <w:jc w:val="center"/>
        </w:pPr>
        <w:r>
          <w:fldChar w:fldCharType="begin"/>
        </w:r>
        <w:r>
          <w:instrText xml:space="preserve"> PAGE   \* MERGEFORMAT </w:instrText>
        </w:r>
        <w:r>
          <w:fldChar w:fldCharType="separate"/>
        </w:r>
        <w:r w:rsidR="00E77296">
          <w:rPr>
            <w:noProof/>
          </w:rPr>
          <w:t>9</w:t>
        </w:r>
        <w:r>
          <w:rPr>
            <w:noProof/>
          </w:rPr>
          <w:fldChar w:fldCharType="end"/>
        </w:r>
      </w:p>
    </w:sdtContent>
  </w:sdt>
  <w:p w14:paraId="0AB6BB92" w14:textId="77777777"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14:paraId="71C552E1" w14:textId="7E5939AD" w:rsidR="00C77C71" w:rsidRDefault="009244A7">
        <w:pPr>
          <w:pStyle w:val="Footer"/>
          <w:jc w:val="center"/>
        </w:pPr>
        <w:r>
          <w:fldChar w:fldCharType="begin"/>
        </w:r>
        <w:r>
          <w:instrText xml:space="preserve"> PAGE   \* MERGEFORMAT </w:instrText>
        </w:r>
        <w:r>
          <w:fldChar w:fldCharType="separate"/>
        </w:r>
        <w:r w:rsidR="00E77296">
          <w:rPr>
            <w:noProof/>
          </w:rPr>
          <w:t>1</w:t>
        </w:r>
        <w:r>
          <w:rPr>
            <w:noProof/>
          </w:rPr>
          <w:fldChar w:fldCharType="end"/>
        </w:r>
      </w:p>
    </w:sdtContent>
  </w:sdt>
  <w:p w14:paraId="3A09665E" w14:textId="77777777"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811AD" w14:textId="77777777" w:rsidR="00A245D5" w:rsidRDefault="00A245D5">
      <w:r>
        <w:separator/>
      </w:r>
    </w:p>
  </w:footnote>
  <w:footnote w:type="continuationSeparator" w:id="0">
    <w:p w14:paraId="797D82F4" w14:textId="77777777" w:rsidR="00A245D5" w:rsidRDefault="00A245D5">
      <w:r>
        <w:continuationSeparator/>
      </w:r>
    </w:p>
  </w:footnote>
  <w:footnote w:id="1">
    <w:p w14:paraId="24FDB1E0" w14:textId="77777777" w:rsidR="00252B4A" w:rsidRDefault="00252B4A" w:rsidP="00252B4A">
      <w:pPr>
        <w:pStyle w:val="FootnoteText"/>
      </w:pPr>
      <w:r w:rsidRPr="0090102A">
        <w:rPr>
          <w:rStyle w:val="FootnoteReference"/>
          <w:vertAlign w:val="superscript"/>
        </w:rPr>
        <w:footnoteRef/>
      </w:r>
      <w:r>
        <w:t xml:space="preserve"> </w:t>
      </w:r>
      <w:r w:rsidRPr="0066230D">
        <w:rPr>
          <w:i/>
        </w:rPr>
        <w:t>Note to drafter</w:t>
      </w:r>
      <w:r>
        <w:t>: start with “</w:t>
      </w:r>
      <w:proofErr w:type="gramStart"/>
      <w:r>
        <w:t>may</w:t>
      </w:r>
      <w:proofErr w:type="gramEnd"/>
      <w:r>
        <w:t>”, but this is acceptable to change to “shall” where there is significant pushback from a borrower on “may”.</w:t>
      </w:r>
    </w:p>
    <w:p w14:paraId="339DB4C5" w14:textId="77777777" w:rsidR="00252B4A" w:rsidRDefault="00252B4A" w:rsidP="00252B4A">
      <w:pPr>
        <w:pStyle w:val="FootnoteText"/>
      </w:pPr>
    </w:p>
  </w:footnote>
  <w:footnote w:id="2">
    <w:p w14:paraId="442CAD9A" w14:textId="77777777" w:rsidR="00252B4A" w:rsidRDefault="00252B4A" w:rsidP="00252B4A">
      <w:pPr>
        <w:pStyle w:val="FootnoteText"/>
      </w:pPr>
      <w:r w:rsidRPr="0090102A">
        <w:rPr>
          <w:rStyle w:val="FootnoteReference"/>
          <w:vertAlign w:val="superscript"/>
        </w:rPr>
        <w:footnoteRef/>
      </w:r>
      <w:r w:rsidRPr="0090102A">
        <w:rPr>
          <w:vertAlign w:val="superscript"/>
        </w:rPr>
        <w:t xml:space="preserve"> </w:t>
      </w:r>
      <w:r>
        <w:rPr>
          <w:i/>
        </w:rPr>
        <w:t xml:space="preserve">Note to drafter:  </w:t>
      </w:r>
      <w:r>
        <w:t xml:space="preserve">Bracketed language should not be included in the first draft.  </w:t>
      </w:r>
      <w:proofErr w:type="gramStart"/>
      <w:r>
        <w:t>May be added in response to borrower's comments.</w:t>
      </w:r>
      <w:proofErr w:type="gramEnd"/>
    </w:p>
    <w:p w14:paraId="010CC417" w14:textId="77777777" w:rsidR="00252B4A" w:rsidRPr="00860B1C" w:rsidRDefault="00252B4A" w:rsidP="00252B4A">
      <w:pPr>
        <w:pStyle w:val="FootnoteText"/>
        <w:rPr>
          <w:i/>
        </w:rPr>
      </w:pPr>
    </w:p>
  </w:footnote>
  <w:footnote w:id="3">
    <w:p w14:paraId="61CB6358" w14:textId="77777777" w:rsidR="00252B4A" w:rsidRDefault="00252B4A" w:rsidP="00252B4A">
      <w:pPr>
        <w:pStyle w:val="FootnoteText"/>
        <w:rPr>
          <w:i/>
        </w:rPr>
      </w:pPr>
      <w:r w:rsidRPr="0090102A">
        <w:rPr>
          <w:rStyle w:val="FootnoteReference"/>
          <w:vertAlign w:val="superscript"/>
        </w:rPr>
        <w:footnoteRef/>
      </w:r>
      <w:r>
        <w:t xml:space="preserve"> </w:t>
      </w:r>
      <w:r>
        <w:rPr>
          <w:i/>
        </w:rPr>
        <w:t>Note to drafter – optional insert that can be added here if needed in response to borrower comments:</w:t>
      </w:r>
    </w:p>
    <w:p w14:paraId="52AF21A0" w14:textId="77777777" w:rsidR="00252B4A" w:rsidRDefault="00252B4A" w:rsidP="00252B4A">
      <w:pPr>
        <w:pStyle w:val="FootnoteText"/>
        <w:rPr>
          <w:i/>
        </w:rPr>
      </w:pPr>
    </w:p>
    <w:p w14:paraId="23A9E9B1" w14:textId="77777777" w:rsidR="00252B4A" w:rsidRPr="00EA5766" w:rsidRDefault="00252B4A" w:rsidP="00252B4A">
      <w:pPr>
        <w:pStyle w:val="FootnoteText"/>
        <w:jc w:val="both"/>
        <w:rPr>
          <w:b/>
          <w:i/>
          <w:color w:val="000000"/>
        </w:rPr>
      </w:pPr>
      <w:r>
        <w:rPr>
          <w:b/>
          <w:i/>
          <w:color w:val="000000"/>
        </w:rPr>
        <w:t xml:space="preserve">If borrower wants confirmation that the Adjustments will only happen once (which </w:t>
      </w:r>
      <w:r>
        <w:rPr>
          <w:b/>
          <w:i/>
          <w:color w:val="000000"/>
          <w:u w:val="single"/>
        </w:rPr>
        <w:t>is</w:t>
      </w:r>
      <w:r>
        <w:rPr>
          <w:b/>
          <w:i/>
          <w:color w:val="000000"/>
        </w:rPr>
        <w:t xml:space="preserve"> the intent), the following can be added:</w:t>
      </w:r>
    </w:p>
    <w:p w14:paraId="4876FAB9" w14:textId="77777777" w:rsidR="00252B4A" w:rsidRDefault="00252B4A" w:rsidP="00252B4A">
      <w:pPr>
        <w:pStyle w:val="FootnoteText"/>
        <w:jc w:val="both"/>
        <w:rPr>
          <w:color w:val="000000"/>
        </w:rPr>
      </w:pPr>
      <w:r>
        <w:rPr>
          <w:color w:val="000000"/>
        </w:rPr>
        <w:t>“</w:t>
      </w:r>
      <w:r w:rsidRPr="006C4F7F">
        <w:rPr>
          <w:color w:val="000000"/>
        </w:rPr>
        <w:t>For avoidance of doubt, in determination of the Replacement Rate, the Alternative Index shall adjust with any published fluctuations in the Alternative Index, but the Adjustments, once initially determined by Lender, shall not thereafter adjust.</w:t>
      </w:r>
      <w:r>
        <w:rPr>
          <w:color w:val="000000"/>
        </w:rPr>
        <w:t>”</w:t>
      </w:r>
      <w:r w:rsidRPr="006C4F7F">
        <w:rPr>
          <w:color w:val="000000"/>
        </w:rPr>
        <w:t xml:space="preserve">  </w:t>
      </w:r>
    </w:p>
    <w:p w14:paraId="177D79BB" w14:textId="77777777" w:rsidR="00252B4A" w:rsidRPr="006C4F7F" w:rsidRDefault="00252B4A" w:rsidP="00252B4A">
      <w:pPr>
        <w:pStyle w:val="FootnoteText"/>
        <w:jc w:val="both"/>
        <w:rPr>
          <w:i/>
        </w:rPr>
      </w:pPr>
    </w:p>
  </w:footnote>
  <w:footnote w:id="4">
    <w:p w14:paraId="43B3AB56" w14:textId="77777777" w:rsidR="00252B4A" w:rsidRDefault="00252B4A" w:rsidP="00252B4A">
      <w:pPr>
        <w:pStyle w:val="FootnoteText"/>
      </w:pPr>
      <w:r w:rsidRPr="004B0EC1">
        <w:rPr>
          <w:rStyle w:val="FootnoteReference"/>
          <w:vertAlign w:val="superscript"/>
        </w:rPr>
        <w:footnoteRef/>
      </w:r>
      <w:r>
        <w:t xml:space="preserve"> </w:t>
      </w:r>
      <w:r>
        <w:rPr>
          <w:i/>
        </w:rPr>
        <w:t xml:space="preserve">Note to drafter:  </w:t>
      </w:r>
      <w:r>
        <w:t xml:space="preserve">Bracketed language should not be included in the first draft.  </w:t>
      </w:r>
      <w:proofErr w:type="gramStart"/>
      <w:r>
        <w:t>May be added in response to borrower's comments.</w:t>
      </w:r>
      <w:proofErr w:type="gramEnd"/>
    </w:p>
    <w:p w14:paraId="5EC0E91E" w14:textId="77777777" w:rsidR="00252B4A" w:rsidRDefault="00252B4A" w:rsidP="00252B4A">
      <w:pPr>
        <w:pStyle w:val="FootnoteText"/>
      </w:pPr>
    </w:p>
  </w:footnote>
  <w:footnote w:id="5">
    <w:p w14:paraId="072EE3B0" w14:textId="77777777" w:rsidR="005B380F" w:rsidRDefault="005B380F" w:rsidP="005B380F">
      <w:pPr>
        <w:pStyle w:val="FootnoteText"/>
      </w:pPr>
      <w:r w:rsidRPr="001641E9">
        <w:rPr>
          <w:rStyle w:val="FootnoteReference"/>
          <w:vertAlign w:val="superscript"/>
        </w:rPr>
        <w:footnoteRef/>
      </w:r>
      <w:r>
        <w:t xml:space="preserve"> </w:t>
      </w:r>
      <w:r w:rsidRPr="0066230D">
        <w:rPr>
          <w:i/>
        </w:rPr>
        <w:t>Note to drafter</w:t>
      </w:r>
      <w:r>
        <w:t>: start with “</w:t>
      </w:r>
      <w:proofErr w:type="gramStart"/>
      <w:r>
        <w:t>may</w:t>
      </w:r>
      <w:proofErr w:type="gramEnd"/>
      <w:r>
        <w:t>”, but this is acceptable to change to “shall” where there is significant pushback from a borrower on “may”.</w:t>
      </w:r>
    </w:p>
    <w:p w14:paraId="2CE18625" w14:textId="77777777" w:rsidR="005B380F" w:rsidRDefault="005B380F" w:rsidP="005B380F">
      <w:pPr>
        <w:pStyle w:val="FootnoteText"/>
      </w:pPr>
    </w:p>
  </w:footnote>
  <w:footnote w:id="6">
    <w:p w14:paraId="62E3FD8D" w14:textId="77777777" w:rsidR="005B380F" w:rsidRDefault="005B380F" w:rsidP="005B380F">
      <w:pPr>
        <w:pStyle w:val="FootnoteText"/>
      </w:pPr>
      <w:r w:rsidRPr="001641E9">
        <w:rPr>
          <w:rStyle w:val="FootnoteReference"/>
          <w:vertAlign w:val="superscript"/>
        </w:rPr>
        <w:footnoteRef/>
      </w:r>
      <w:r w:rsidRPr="001641E9">
        <w:rPr>
          <w:vertAlign w:val="superscript"/>
        </w:rPr>
        <w:t xml:space="preserve"> </w:t>
      </w:r>
      <w:r>
        <w:rPr>
          <w:i/>
        </w:rPr>
        <w:t xml:space="preserve">Note to drafter:  </w:t>
      </w:r>
      <w:r>
        <w:t xml:space="preserve">Bracketed language should not be included in the first draft.  </w:t>
      </w:r>
      <w:proofErr w:type="gramStart"/>
      <w:r>
        <w:t>May be added in response to borrower's comments.</w:t>
      </w:r>
      <w:proofErr w:type="gramEnd"/>
    </w:p>
    <w:p w14:paraId="5F82E855" w14:textId="77777777" w:rsidR="005B380F" w:rsidRDefault="005B380F" w:rsidP="005B380F">
      <w:pPr>
        <w:pStyle w:val="FootnoteText"/>
      </w:pPr>
    </w:p>
  </w:footnote>
  <w:footnote w:id="7">
    <w:p w14:paraId="3C17E41D" w14:textId="77777777" w:rsidR="005B380F" w:rsidRDefault="005B380F" w:rsidP="005B380F">
      <w:pPr>
        <w:pStyle w:val="FootnoteText"/>
        <w:rPr>
          <w:i/>
        </w:rPr>
      </w:pPr>
      <w:r w:rsidRPr="001641E9">
        <w:rPr>
          <w:rStyle w:val="FootnoteReference"/>
          <w:vertAlign w:val="superscript"/>
        </w:rPr>
        <w:footnoteRef/>
      </w:r>
      <w:r w:rsidRPr="001641E9">
        <w:rPr>
          <w:vertAlign w:val="superscript"/>
        </w:rPr>
        <w:t xml:space="preserve"> </w:t>
      </w:r>
      <w:r>
        <w:rPr>
          <w:i/>
        </w:rPr>
        <w:t>Note to drafter – optional insert that can be added here if needed in response to borrower comments:</w:t>
      </w:r>
    </w:p>
    <w:p w14:paraId="7B970133" w14:textId="77777777" w:rsidR="005B380F" w:rsidRDefault="005B380F" w:rsidP="005B380F">
      <w:pPr>
        <w:pStyle w:val="FootnoteText"/>
        <w:jc w:val="both"/>
        <w:rPr>
          <w:b/>
          <w:i/>
        </w:rPr>
      </w:pPr>
    </w:p>
    <w:p w14:paraId="6B160B78" w14:textId="77777777" w:rsidR="005B380F" w:rsidRPr="00EA5766" w:rsidRDefault="005B380F" w:rsidP="005B380F">
      <w:pPr>
        <w:pStyle w:val="FootnoteText"/>
        <w:jc w:val="both"/>
        <w:rPr>
          <w:b/>
          <w:i/>
          <w:color w:val="000000"/>
        </w:rPr>
      </w:pPr>
      <w:r>
        <w:rPr>
          <w:b/>
          <w:i/>
          <w:color w:val="000000"/>
        </w:rPr>
        <w:t xml:space="preserve">If borrower wants confirmation that the Adjustments will only happen once (which </w:t>
      </w:r>
      <w:r>
        <w:rPr>
          <w:b/>
          <w:i/>
          <w:color w:val="000000"/>
          <w:u w:val="single"/>
        </w:rPr>
        <w:t>is</w:t>
      </w:r>
      <w:r>
        <w:rPr>
          <w:b/>
          <w:i/>
          <w:color w:val="000000"/>
        </w:rPr>
        <w:t xml:space="preserve"> the intent), the following can be added:</w:t>
      </w:r>
    </w:p>
    <w:p w14:paraId="47C2E3DE" w14:textId="77777777" w:rsidR="005B380F" w:rsidRDefault="005B380F" w:rsidP="005B380F">
      <w:pPr>
        <w:pStyle w:val="FootnoteText"/>
        <w:jc w:val="both"/>
        <w:rPr>
          <w:color w:val="000000"/>
        </w:rPr>
      </w:pPr>
      <w:r>
        <w:rPr>
          <w:color w:val="000000"/>
        </w:rPr>
        <w:t>“</w:t>
      </w:r>
      <w:r w:rsidRPr="006C4F7F">
        <w:rPr>
          <w:color w:val="000000"/>
        </w:rPr>
        <w:t xml:space="preserve">For avoidance of doubt, in determination of the Replacement Rate, the Alternative Index shall adjust with any published fluctuations in the Alternative Index, but the Adjustments, once initially determined by </w:t>
      </w:r>
      <w:r>
        <w:rPr>
          <w:color w:val="000000"/>
        </w:rPr>
        <w:t>Administrative Agent</w:t>
      </w:r>
      <w:r w:rsidRPr="006C4F7F">
        <w:rPr>
          <w:color w:val="000000"/>
        </w:rPr>
        <w:t>, shall not thereafter adjust.</w:t>
      </w:r>
      <w:r>
        <w:rPr>
          <w:color w:val="000000"/>
        </w:rPr>
        <w:t>”</w:t>
      </w:r>
      <w:r w:rsidRPr="006C4F7F">
        <w:rPr>
          <w:color w:val="000000"/>
        </w:rPr>
        <w:t xml:space="preserve">  </w:t>
      </w:r>
    </w:p>
    <w:p w14:paraId="1AAC9D6F" w14:textId="77777777" w:rsidR="005B380F" w:rsidRPr="006C4F7F" w:rsidRDefault="005B380F" w:rsidP="005B380F">
      <w:pPr>
        <w:pStyle w:val="FootnoteText"/>
        <w:jc w:val="both"/>
        <w:rPr>
          <w:i/>
        </w:rPr>
      </w:pPr>
    </w:p>
  </w:footnote>
  <w:footnote w:id="8">
    <w:p w14:paraId="1FF6049D" w14:textId="77777777" w:rsidR="005B380F" w:rsidRDefault="005B380F" w:rsidP="005B380F">
      <w:pPr>
        <w:pStyle w:val="FootnoteText"/>
      </w:pPr>
      <w:r w:rsidRPr="00DB47D9">
        <w:rPr>
          <w:rStyle w:val="FootnoteReference"/>
          <w:vertAlign w:val="superscript"/>
        </w:rPr>
        <w:footnoteRef/>
      </w:r>
      <w:r>
        <w:t xml:space="preserve"> </w:t>
      </w:r>
      <w:r>
        <w:rPr>
          <w:i/>
        </w:rPr>
        <w:t xml:space="preserve">Note to drafter:  </w:t>
      </w:r>
      <w:r>
        <w:t xml:space="preserve">Bracketed language should not be included in the first draft.  </w:t>
      </w:r>
      <w:proofErr w:type="gramStart"/>
      <w:r>
        <w:t>May be added in response to borrower's comments.</w:t>
      </w:r>
      <w:proofErr w:type="gramEnd"/>
    </w:p>
    <w:p w14:paraId="3C1BB1BC" w14:textId="77777777" w:rsidR="005B380F" w:rsidRDefault="005B380F" w:rsidP="005B380F">
      <w:pPr>
        <w:pStyle w:val="FootnoteText"/>
      </w:pPr>
    </w:p>
  </w:footnote>
  <w:footnote w:id="9">
    <w:p w14:paraId="4081C3A1" w14:textId="33B5B3FC" w:rsidR="00206803" w:rsidRDefault="00206803" w:rsidP="00206803">
      <w:pPr>
        <w:pStyle w:val="FootnoteText"/>
      </w:pPr>
      <w:r w:rsidRPr="00B51614">
        <w:rPr>
          <w:rStyle w:val="FootnoteReference"/>
          <w:vertAlign w:val="superscript"/>
        </w:rPr>
        <w:footnoteRef/>
      </w:r>
      <w:r>
        <w:t xml:space="preserve"> Note to drafter: SunTrust deal team will need to provide this number.  This number is the minimum equity requirement needed to avoid HVCRE designation.</w:t>
      </w:r>
    </w:p>
    <w:p w14:paraId="5CC6994C" w14:textId="77777777" w:rsidR="00B51614" w:rsidRDefault="00B51614" w:rsidP="00206803">
      <w:pPr>
        <w:pStyle w:val="FootnoteText"/>
      </w:pPr>
    </w:p>
  </w:footnote>
  <w:footnote w:id="10">
    <w:p w14:paraId="4D3AC62A" w14:textId="77777777" w:rsidR="00206803" w:rsidRDefault="00206803" w:rsidP="00206803">
      <w:pPr>
        <w:pStyle w:val="FootnoteText"/>
      </w:pPr>
      <w:r w:rsidRPr="00B51614">
        <w:rPr>
          <w:rStyle w:val="FootnoteReference"/>
          <w:vertAlign w:val="superscript"/>
        </w:rPr>
        <w:footnoteRef/>
      </w:r>
      <w:r w:rsidRPr="00B51614">
        <w:rPr>
          <w:vertAlign w:val="superscript"/>
        </w:rPr>
        <w:t xml:space="preserve"> </w:t>
      </w:r>
      <w:r>
        <w:t>Note to drafter: SunTrust deal team will need to provide this number.  This number is the minimum equity requirement needed to avoid HVCRE designation.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5A748DE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3">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4">
    <w:nsid w:val="03DD75D6"/>
    <w:multiLevelType w:val="hybridMultilevel"/>
    <w:tmpl w:val="0A746386"/>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346F5"/>
    <w:multiLevelType w:val="hybridMultilevel"/>
    <w:tmpl w:val="4970CB54"/>
    <w:lvl w:ilvl="0" w:tplc="68AC19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F30958"/>
    <w:multiLevelType w:val="hybridMultilevel"/>
    <w:tmpl w:val="74F65AB4"/>
    <w:lvl w:ilvl="0" w:tplc="7F5C4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7031"/>
    <w:multiLevelType w:val="hybridMultilevel"/>
    <w:tmpl w:val="0C2A2B18"/>
    <w:lvl w:ilvl="0" w:tplc="C4740CC4">
      <w:start w:val="4"/>
      <w:numFmt w:val="lowerLetter"/>
      <w:lvlText w:val="(%1)"/>
      <w:lvlJc w:val="left"/>
      <w:pPr>
        <w:ind w:left="1800" w:hanging="360"/>
      </w:pPr>
      <w:rPr>
        <w:rFonts w:hint="default"/>
        <w:b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4227A"/>
    <w:multiLevelType w:val="hybridMultilevel"/>
    <w:tmpl w:val="3098A4C8"/>
    <w:lvl w:ilvl="0" w:tplc="601EC6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FB4848"/>
    <w:multiLevelType w:val="hybridMultilevel"/>
    <w:tmpl w:val="48D0B780"/>
    <w:lvl w:ilvl="0" w:tplc="D7243B32">
      <w:start w:val="4"/>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B3B3ED1"/>
    <w:multiLevelType w:val="hybridMultilevel"/>
    <w:tmpl w:val="93EE949C"/>
    <w:lvl w:ilvl="0" w:tplc="CA2C8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2BD96BAF"/>
    <w:multiLevelType w:val="hybridMultilevel"/>
    <w:tmpl w:val="74160532"/>
    <w:lvl w:ilvl="0" w:tplc="B24A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750CF6"/>
    <w:multiLevelType w:val="hybridMultilevel"/>
    <w:tmpl w:val="3BE05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0780D02"/>
    <w:multiLevelType w:val="hybridMultilevel"/>
    <w:tmpl w:val="9F68C33C"/>
    <w:lvl w:ilvl="0" w:tplc="CBE8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6B0262"/>
    <w:multiLevelType w:val="hybridMultilevel"/>
    <w:tmpl w:val="E77E6332"/>
    <w:lvl w:ilvl="0" w:tplc="CA0CA78A">
      <w:start w:val="1"/>
      <w:numFmt w:val="lowerLetter"/>
      <w:lvlText w:val="(%1)"/>
      <w:lvlJc w:val="left"/>
      <w:pPr>
        <w:ind w:left="975" w:hanging="390"/>
      </w:pPr>
      <w:rPr>
        <w:rFonts w:ascii="Times New Roman" w:eastAsia="Calibri" w:hAnsi="Times New Roman" w:cs="Times New Roman"/>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18">
    <w:nsid w:val="4934084C"/>
    <w:multiLevelType w:val="hybridMultilevel"/>
    <w:tmpl w:val="7A801B58"/>
    <w:lvl w:ilvl="0" w:tplc="6C50AB6C">
      <w:start w:val="1"/>
      <w:numFmt w:val="lowerRoman"/>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A0290C"/>
    <w:multiLevelType w:val="hybridMultilevel"/>
    <w:tmpl w:val="28C6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210B2"/>
    <w:multiLevelType w:val="hybridMultilevel"/>
    <w:tmpl w:val="B5C49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327644"/>
    <w:multiLevelType w:val="multilevel"/>
    <w:tmpl w:val="945AD91E"/>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pStyle w:val="Heading2"/>
      <w:isLgl/>
      <w:lvlText w:val="Section %1.%2."/>
      <w:lvlJc w:val="left"/>
      <w:pPr>
        <w:ind w:left="540" w:firstLine="1440"/>
      </w:pPr>
      <w:rPr>
        <w:rFonts w:hint="default"/>
        <w:b/>
        <w:i w:val="0"/>
        <w:vanish w:val="0"/>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22">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22327B"/>
    <w:multiLevelType w:val="hybridMultilevel"/>
    <w:tmpl w:val="7D7091F4"/>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16291"/>
    <w:multiLevelType w:val="hybridMultilevel"/>
    <w:tmpl w:val="0A746386"/>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15"/>
  </w:num>
  <w:num w:numId="4">
    <w:abstractNumId w:val="12"/>
  </w:num>
  <w:num w:numId="5">
    <w:abstractNumId w:val="8"/>
  </w:num>
  <w:num w:numId="6">
    <w:abstractNumId w:val="25"/>
  </w:num>
  <w:num w:numId="7">
    <w:abstractNumId w:val="16"/>
  </w:num>
  <w:num w:numId="8">
    <w:abstractNumId w:val="21"/>
  </w:num>
  <w:num w:numId="9">
    <w:abstractNumId w:val="19"/>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3"/>
  </w:num>
  <w:num w:numId="15">
    <w:abstractNumId w:val="5"/>
  </w:num>
  <w:num w:numId="16">
    <w:abstractNumId w:val="18"/>
  </w:num>
  <w:num w:numId="17">
    <w:abstractNumId w:val="10"/>
  </w:num>
  <w:num w:numId="18">
    <w:abstractNumId w:val="6"/>
  </w:num>
  <w:num w:numId="19">
    <w:abstractNumId w:val="7"/>
  </w:num>
  <w:num w:numId="20">
    <w:abstractNumId w:val="4"/>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4"/>
  </w:num>
  <w:num w:numId="25">
    <w:abstractNumId w:val="1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31D7C"/>
    <w:rsid w:val="00036DDF"/>
    <w:rsid w:val="00037567"/>
    <w:rsid w:val="00050BC7"/>
    <w:rsid w:val="000522A5"/>
    <w:rsid w:val="00054AF7"/>
    <w:rsid w:val="00063B76"/>
    <w:rsid w:val="00072CBF"/>
    <w:rsid w:val="0007527E"/>
    <w:rsid w:val="000911C4"/>
    <w:rsid w:val="000926AF"/>
    <w:rsid w:val="000930CE"/>
    <w:rsid w:val="00094F3A"/>
    <w:rsid w:val="000A16E3"/>
    <w:rsid w:val="000B1698"/>
    <w:rsid w:val="000C11AB"/>
    <w:rsid w:val="000C433B"/>
    <w:rsid w:val="000D5945"/>
    <w:rsid w:val="000D77DF"/>
    <w:rsid w:val="000D7926"/>
    <w:rsid w:val="000E4592"/>
    <w:rsid w:val="000F71B4"/>
    <w:rsid w:val="00122B0A"/>
    <w:rsid w:val="001443C1"/>
    <w:rsid w:val="00150135"/>
    <w:rsid w:val="00162DF3"/>
    <w:rsid w:val="001641E9"/>
    <w:rsid w:val="00167F11"/>
    <w:rsid w:val="00170198"/>
    <w:rsid w:val="00174D0C"/>
    <w:rsid w:val="00175F07"/>
    <w:rsid w:val="00181CF8"/>
    <w:rsid w:val="001852F8"/>
    <w:rsid w:val="001854FC"/>
    <w:rsid w:val="001A1E4A"/>
    <w:rsid w:val="001A4FA5"/>
    <w:rsid w:val="001B12D4"/>
    <w:rsid w:val="00206803"/>
    <w:rsid w:val="00212C7C"/>
    <w:rsid w:val="00216C81"/>
    <w:rsid w:val="00220F82"/>
    <w:rsid w:val="00246362"/>
    <w:rsid w:val="00252B4A"/>
    <w:rsid w:val="00266545"/>
    <w:rsid w:val="00284BCF"/>
    <w:rsid w:val="002A3A17"/>
    <w:rsid w:val="002B00A7"/>
    <w:rsid w:val="002B3BC2"/>
    <w:rsid w:val="002B4E42"/>
    <w:rsid w:val="002C3FB3"/>
    <w:rsid w:val="002C4163"/>
    <w:rsid w:val="002C7598"/>
    <w:rsid w:val="002D1A41"/>
    <w:rsid w:val="002E091E"/>
    <w:rsid w:val="002E0FB7"/>
    <w:rsid w:val="002E6C85"/>
    <w:rsid w:val="002E7F6C"/>
    <w:rsid w:val="00302B39"/>
    <w:rsid w:val="00312625"/>
    <w:rsid w:val="00317830"/>
    <w:rsid w:val="0033367F"/>
    <w:rsid w:val="003466BD"/>
    <w:rsid w:val="00350FC7"/>
    <w:rsid w:val="00351022"/>
    <w:rsid w:val="00353A54"/>
    <w:rsid w:val="00355EEB"/>
    <w:rsid w:val="003624F5"/>
    <w:rsid w:val="00366DE1"/>
    <w:rsid w:val="003759A7"/>
    <w:rsid w:val="00375F90"/>
    <w:rsid w:val="00377193"/>
    <w:rsid w:val="00384AE1"/>
    <w:rsid w:val="0038797B"/>
    <w:rsid w:val="003956CD"/>
    <w:rsid w:val="00396378"/>
    <w:rsid w:val="003A5B18"/>
    <w:rsid w:val="003A63E0"/>
    <w:rsid w:val="003B1890"/>
    <w:rsid w:val="003B2B41"/>
    <w:rsid w:val="003C6E74"/>
    <w:rsid w:val="003D3191"/>
    <w:rsid w:val="003F304D"/>
    <w:rsid w:val="004037A0"/>
    <w:rsid w:val="0040740F"/>
    <w:rsid w:val="00410468"/>
    <w:rsid w:val="00421C70"/>
    <w:rsid w:val="00422400"/>
    <w:rsid w:val="00422EAF"/>
    <w:rsid w:val="00433BC2"/>
    <w:rsid w:val="00437915"/>
    <w:rsid w:val="00441574"/>
    <w:rsid w:val="00441C8F"/>
    <w:rsid w:val="00452B9D"/>
    <w:rsid w:val="004560D9"/>
    <w:rsid w:val="0046549D"/>
    <w:rsid w:val="004668EB"/>
    <w:rsid w:val="004B0EC1"/>
    <w:rsid w:val="004B5D68"/>
    <w:rsid w:val="004D024B"/>
    <w:rsid w:val="004D37D7"/>
    <w:rsid w:val="004D3F80"/>
    <w:rsid w:val="004D7FA3"/>
    <w:rsid w:val="004F2BCB"/>
    <w:rsid w:val="004F47E8"/>
    <w:rsid w:val="004F5664"/>
    <w:rsid w:val="004F6722"/>
    <w:rsid w:val="00515BC1"/>
    <w:rsid w:val="00527A0B"/>
    <w:rsid w:val="00531609"/>
    <w:rsid w:val="005328C1"/>
    <w:rsid w:val="00536434"/>
    <w:rsid w:val="00536ED0"/>
    <w:rsid w:val="0054123B"/>
    <w:rsid w:val="00542283"/>
    <w:rsid w:val="00560C77"/>
    <w:rsid w:val="00561996"/>
    <w:rsid w:val="00562029"/>
    <w:rsid w:val="00564CB2"/>
    <w:rsid w:val="00565457"/>
    <w:rsid w:val="00573F31"/>
    <w:rsid w:val="00574B45"/>
    <w:rsid w:val="005815DC"/>
    <w:rsid w:val="0058423F"/>
    <w:rsid w:val="00584952"/>
    <w:rsid w:val="00586CB2"/>
    <w:rsid w:val="005938A6"/>
    <w:rsid w:val="005A2F66"/>
    <w:rsid w:val="005A40E7"/>
    <w:rsid w:val="005B380F"/>
    <w:rsid w:val="005C0207"/>
    <w:rsid w:val="005D40F2"/>
    <w:rsid w:val="005F3272"/>
    <w:rsid w:val="005F3341"/>
    <w:rsid w:val="00602700"/>
    <w:rsid w:val="0060292C"/>
    <w:rsid w:val="00604452"/>
    <w:rsid w:val="006110FB"/>
    <w:rsid w:val="0061410C"/>
    <w:rsid w:val="00617B43"/>
    <w:rsid w:val="006220FE"/>
    <w:rsid w:val="00623132"/>
    <w:rsid w:val="006317BC"/>
    <w:rsid w:val="00637D45"/>
    <w:rsid w:val="00637EAD"/>
    <w:rsid w:val="0065114F"/>
    <w:rsid w:val="00651EBD"/>
    <w:rsid w:val="00653497"/>
    <w:rsid w:val="00695D00"/>
    <w:rsid w:val="006A6540"/>
    <w:rsid w:val="006B6C55"/>
    <w:rsid w:val="006C453F"/>
    <w:rsid w:val="006C66ED"/>
    <w:rsid w:val="006D50C0"/>
    <w:rsid w:val="006E61FA"/>
    <w:rsid w:val="006F038D"/>
    <w:rsid w:val="006F1805"/>
    <w:rsid w:val="00703975"/>
    <w:rsid w:val="0071009E"/>
    <w:rsid w:val="0071457C"/>
    <w:rsid w:val="0071714F"/>
    <w:rsid w:val="00721236"/>
    <w:rsid w:val="007240C5"/>
    <w:rsid w:val="00726955"/>
    <w:rsid w:val="00737763"/>
    <w:rsid w:val="00750CE5"/>
    <w:rsid w:val="00751411"/>
    <w:rsid w:val="007609CE"/>
    <w:rsid w:val="007613D2"/>
    <w:rsid w:val="007660D9"/>
    <w:rsid w:val="00767E89"/>
    <w:rsid w:val="00770F7E"/>
    <w:rsid w:val="00777AE3"/>
    <w:rsid w:val="00790487"/>
    <w:rsid w:val="00797ED3"/>
    <w:rsid w:val="007A07EB"/>
    <w:rsid w:val="007A1084"/>
    <w:rsid w:val="007A13BF"/>
    <w:rsid w:val="007A587A"/>
    <w:rsid w:val="007B01A4"/>
    <w:rsid w:val="007B4A4F"/>
    <w:rsid w:val="007B4F3D"/>
    <w:rsid w:val="007C05B6"/>
    <w:rsid w:val="007C6172"/>
    <w:rsid w:val="007D5846"/>
    <w:rsid w:val="007E61E3"/>
    <w:rsid w:val="007F31E6"/>
    <w:rsid w:val="008013C9"/>
    <w:rsid w:val="00806F29"/>
    <w:rsid w:val="008102C6"/>
    <w:rsid w:val="00814075"/>
    <w:rsid w:val="00827DCD"/>
    <w:rsid w:val="00851328"/>
    <w:rsid w:val="0085284F"/>
    <w:rsid w:val="008567C5"/>
    <w:rsid w:val="00861876"/>
    <w:rsid w:val="00862544"/>
    <w:rsid w:val="00872279"/>
    <w:rsid w:val="0087329A"/>
    <w:rsid w:val="008738DE"/>
    <w:rsid w:val="0087568F"/>
    <w:rsid w:val="008919E3"/>
    <w:rsid w:val="0089772F"/>
    <w:rsid w:val="00897C5F"/>
    <w:rsid w:val="008A182B"/>
    <w:rsid w:val="008A7A6F"/>
    <w:rsid w:val="008B0DD4"/>
    <w:rsid w:val="008C5E63"/>
    <w:rsid w:val="008C6EB1"/>
    <w:rsid w:val="008D0AAC"/>
    <w:rsid w:val="008E6C8C"/>
    <w:rsid w:val="00900AF6"/>
    <w:rsid w:val="0090102A"/>
    <w:rsid w:val="00906FA4"/>
    <w:rsid w:val="009123AC"/>
    <w:rsid w:val="00913495"/>
    <w:rsid w:val="00916C1D"/>
    <w:rsid w:val="00916DA6"/>
    <w:rsid w:val="009232E1"/>
    <w:rsid w:val="009244A7"/>
    <w:rsid w:val="00925DCC"/>
    <w:rsid w:val="0093337A"/>
    <w:rsid w:val="00937264"/>
    <w:rsid w:val="00941C4D"/>
    <w:rsid w:val="009452CA"/>
    <w:rsid w:val="00952E2D"/>
    <w:rsid w:val="00953056"/>
    <w:rsid w:val="009550A2"/>
    <w:rsid w:val="00964991"/>
    <w:rsid w:val="009649FA"/>
    <w:rsid w:val="00967BAC"/>
    <w:rsid w:val="00971833"/>
    <w:rsid w:val="009746F8"/>
    <w:rsid w:val="009802F5"/>
    <w:rsid w:val="009856AA"/>
    <w:rsid w:val="00990A84"/>
    <w:rsid w:val="00995D2E"/>
    <w:rsid w:val="009978BE"/>
    <w:rsid w:val="009B1E74"/>
    <w:rsid w:val="009B4878"/>
    <w:rsid w:val="009B7489"/>
    <w:rsid w:val="009C5DC8"/>
    <w:rsid w:val="009D5807"/>
    <w:rsid w:val="009E0F20"/>
    <w:rsid w:val="009E4B3B"/>
    <w:rsid w:val="00A01C9E"/>
    <w:rsid w:val="00A11EE6"/>
    <w:rsid w:val="00A22910"/>
    <w:rsid w:val="00A23787"/>
    <w:rsid w:val="00A242FB"/>
    <w:rsid w:val="00A245D5"/>
    <w:rsid w:val="00A45234"/>
    <w:rsid w:val="00A55CC6"/>
    <w:rsid w:val="00A60CD8"/>
    <w:rsid w:val="00A624C3"/>
    <w:rsid w:val="00A62A85"/>
    <w:rsid w:val="00A6404B"/>
    <w:rsid w:val="00A70F66"/>
    <w:rsid w:val="00A7102D"/>
    <w:rsid w:val="00A7298E"/>
    <w:rsid w:val="00A76476"/>
    <w:rsid w:val="00AA1366"/>
    <w:rsid w:val="00AA4F40"/>
    <w:rsid w:val="00AA64AF"/>
    <w:rsid w:val="00AB291D"/>
    <w:rsid w:val="00AB698D"/>
    <w:rsid w:val="00AB753A"/>
    <w:rsid w:val="00AC33C7"/>
    <w:rsid w:val="00AD1EE6"/>
    <w:rsid w:val="00AD45FB"/>
    <w:rsid w:val="00AE1247"/>
    <w:rsid w:val="00AE15AF"/>
    <w:rsid w:val="00AE3E3C"/>
    <w:rsid w:val="00AF1D9A"/>
    <w:rsid w:val="00AF2492"/>
    <w:rsid w:val="00AF4464"/>
    <w:rsid w:val="00AF448A"/>
    <w:rsid w:val="00AF74F5"/>
    <w:rsid w:val="00B16F5D"/>
    <w:rsid w:val="00B170FA"/>
    <w:rsid w:val="00B21E29"/>
    <w:rsid w:val="00B25EF5"/>
    <w:rsid w:val="00B30CD7"/>
    <w:rsid w:val="00B41657"/>
    <w:rsid w:val="00B42918"/>
    <w:rsid w:val="00B457A9"/>
    <w:rsid w:val="00B51614"/>
    <w:rsid w:val="00B53D96"/>
    <w:rsid w:val="00B7426C"/>
    <w:rsid w:val="00B836D0"/>
    <w:rsid w:val="00B85962"/>
    <w:rsid w:val="00B8620D"/>
    <w:rsid w:val="00B91A00"/>
    <w:rsid w:val="00B927BE"/>
    <w:rsid w:val="00BA5EE2"/>
    <w:rsid w:val="00BB4998"/>
    <w:rsid w:val="00BB74C7"/>
    <w:rsid w:val="00BC0189"/>
    <w:rsid w:val="00BD07EA"/>
    <w:rsid w:val="00BD1673"/>
    <w:rsid w:val="00BF0EFB"/>
    <w:rsid w:val="00C2117A"/>
    <w:rsid w:val="00C22468"/>
    <w:rsid w:val="00C326ED"/>
    <w:rsid w:val="00C33803"/>
    <w:rsid w:val="00C33A13"/>
    <w:rsid w:val="00C372CB"/>
    <w:rsid w:val="00C42835"/>
    <w:rsid w:val="00C50187"/>
    <w:rsid w:val="00C52324"/>
    <w:rsid w:val="00C53AE1"/>
    <w:rsid w:val="00C60E78"/>
    <w:rsid w:val="00C61FA4"/>
    <w:rsid w:val="00C6656B"/>
    <w:rsid w:val="00C67505"/>
    <w:rsid w:val="00C70005"/>
    <w:rsid w:val="00C749DF"/>
    <w:rsid w:val="00C77C71"/>
    <w:rsid w:val="00C86332"/>
    <w:rsid w:val="00C90516"/>
    <w:rsid w:val="00C953B3"/>
    <w:rsid w:val="00CA3622"/>
    <w:rsid w:val="00CA521C"/>
    <w:rsid w:val="00CC0E0B"/>
    <w:rsid w:val="00CC2805"/>
    <w:rsid w:val="00CD14AA"/>
    <w:rsid w:val="00CE4579"/>
    <w:rsid w:val="00CF01FB"/>
    <w:rsid w:val="00CF70AA"/>
    <w:rsid w:val="00CF7B44"/>
    <w:rsid w:val="00D1081A"/>
    <w:rsid w:val="00D17E37"/>
    <w:rsid w:val="00D252C7"/>
    <w:rsid w:val="00D2786B"/>
    <w:rsid w:val="00D33352"/>
    <w:rsid w:val="00D337EB"/>
    <w:rsid w:val="00D358AC"/>
    <w:rsid w:val="00D3770B"/>
    <w:rsid w:val="00D41248"/>
    <w:rsid w:val="00D414CF"/>
    <w:rsid w:val="00D44FFF"/>
    <w:rsid w:val="00D500A4"/>
    <w:rsid w:val="00D567E8"/>
    <w:rsid w:val="00D60EE9"/>
    <w:rsid w:val="00D87949"/>
    <w:rsid w:val="00D968FB"/>
    <w:rsid w:val="00DB47D9"/>
    <w:rsid w:val="00DC05B0"/>
    <w:rsid w:val="00DC3647"/>
    <w:rsid w:val="00DD0A46"/>
    <w:rsid w:val="00DD14B4"/>
    <w:rsid w:val="00DD3C55"/>
    <w:rsid w:val="00DD636B"/>
    <w:rsid w:val="00DD6864"/>
    <w:rsid w:val="00DE19B6"/>
    <w:rsid w:val="00DE73BD"/>
    <w:rsid w:val="00DF7C0A"/>
    <w:rsid w:val="00E00372"/>
    <w:rsid w:val="00E008D2"/>
    <w:rsid w:val="00E02FC5"/>
    <w:rsid w:val="00E05367"/>
    <w:rsid w:val="00E073C3"/>
    <w:rsid w:val="00E17D52"/>
    <w:rsid w:val="00E2452E"/>
    <w:rsid w:val="00E45C08"/>
    <w:rsid w:val="00E5157E"/>
    <w:rsid w:val="00E528B4"/>
    <w:rsid w:val="00E55BA8"/>
    <w:rsid w:val="00E74159"/>
    <w:rsid w:val="00E77008"/>
    <w:rsid w:val="00E77296"/>
    <w:rsid w:val="00E825FB"/>
    <w:rsid w:val="00E8617B"/>
    <w:rsid w:val="00E86E63"/>
    <w:rsid w:val="00E907C6"/>
    <w:rsid w:val="00E96F75"/>
    <w:rsid w:val="00EA0362"/>
    <w:rsid w:val="00EA155A"/>
    <w:rsid w:val="00EA34A9"/>
    <w:rsid w:val="00EA5D55"/>
    <w:rsid w:val="00EA5E6B"/>
    <w:rsid w:val="00EC4FF3"/>
    <w:rsid w:val="00ED37AE"/>
    <w:rsid w:val="00ED67D2"/>
    <w:rsid w:val="00EE3182"/>
    <w:rsid w:val="00EF4D86"/>
    <w:rsid w:val="00F07344"/>
    <w:rsid w:val="00F15467"/>
    <w:rsid w:val="00F158B1"/>
    <w:rsid w:val="00F3203E"/>
    <w:rsid w:val="00F40A49"/>
    <w:rsid w:val="00F467B9"/>
    <w:rsid w:val="00F50035"/>
    <w:rsid w:val="00F502E8"/>
    <w:rsid w:val="00F54D0E"/>
    <w:rsid w:val="00F639BB"/>
    <w:rsid w:val="00F63E4D"/>
    <w:rsid w:val="00F65ECF"/>
    <w:rsid w:val="00F716E2"/>
    <w:rsid w:val="00F850DF"/>
    <w:rsid w:val="00FA30A1"/>
    <w:rsid w:val="00FB2A80"/>
    <w:rsid w:val="00FC3170"/>
    <w:rsid w:val="00FC3A10"/>
    <w:rsid w:val="00FD2DAA"/>
    <w:rsid w:val="00FD460D"/>
    <w:rsid w:val="00FD6321"/>
    <w:rsid w:val="00FD714B"/>
    <w:rsid w:val="00FD7696"/>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D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34" w:qFormat="1"/>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7609CE"/>
    <w:rPr>
      <w:sz w:val="16"/>
      <w:szCs w:val="16"/>
    </w:rPr>
  </w:style>
  <w:style w:type="paragraph" w:styleId="CommentText">
    <w:name w:val="annotation text"/>
    <w:basedOn w:val="Normal"/>
    <w:link w:val="CommentTextChar"/>
    <w:uiPriority w:val="99"/>
    <w:semiHidden/>
    <w:unhideWhenUsed/>
    <w:rsid w:val="007609CE"/>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7609CE"/>
    <w:rPr>
      <w:rFonts w:asciiTheme="minorHAnsi" w:eastAsiaTheme="minorHAnsi" w:hAnsiTheme="minorHAnsi" w:cstheme="minorBidi"/>
    </w:rPr>
  </w:style>
  <w:style w:type="paragraph" w:styleId="BodyTextFirstIndent">
    <w:name w:val="Body Text First Indent"/>
    <w:basedOn w:val="BodyText"/>
    <w:link w:val="BodyTextFirstIndentChar"/>
    <w:uiPriority w:val="99"/>
    <w:unhideWhenUsed/>
    <w:rsid w:val="007609C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00" w:line="276" w:lineRule="auto"/>
      <w:ind w:firstLine="360"/>
      <w:jc w:val="left"/>
    </w:pPr>
    <w:rPr>
      <w:rFonts w:asciiTheme="minorHAnsi" w:eastAsiaTheme="minorHAnsi" w:hAnsiTheme="minorHAnsi" w:cstheme="minorBidi"/>
      <w:b w:val="0"/>
      <w:snapToGrid/>
      <w:sz w:val="22"/>
      <w:szCs w:val="22"/>
    </w:rPr>
  </w:style>
  <w:style w:type="character" w:customStyle="1" w:styleId="BodyTextFirstIndentChar">
    <w:name w:val="Body Text First Indent Char"/>
    <w:basedOn w:val="BodyTextChar"/>
    <w:link w:val="BodyTextFirstIndent"/>
    <w:uiPriority w:val="99"/>
    <w:rsid w:val="007609CE"/>
    <w:rPr>
      <w:rFonts w:asciiTheme="minorHAnsi" w:eastAsiaTheme="minorHAnsi" w:hAnsiTheme="minorHAnsi" w:cstheme="minorBidi"/>
      <w:b w:val="0"/>
      <w:snapToGrid/>
      <w:sz w:val="22"/>
      <w:szCs w:val="22"/>
    </w:rPr>
  </w:style>
  <w:style w:type="character" w:customStyle="1" w:styleId="CharChar6">
    <w:name w:val="Char Char6"/>
    <w:rsid w:val="00174D0C"/>
    <w:rPr>
      <w:sz w:val="24"/>
      <w:lang w:val="en-US" w:eastAsia="en-US" w:bidi="ar-SA"/>
    </w:rPr>
  </w:style>
  <w:style w:type="paragraph" w:styleId="TOC2">
    <w:name w:val="toc 2"/>
    <w:basedOn w:val="Normal"/>
    <w:next w:val="Normal"/>
    <w:autoRedefine/>
    <w:uiPriority w:val="39"/>
    <w:rsid w:val="00384AE1"/>
    <w:pPr>
      <w:tabs>
        <w:tab w:val="left" w:pos="2166"/>
        <w:tab w:val="right" w:leader="dot" w:pos="9350"/>
      </w:tabs>
      <w:ind w:firstLine="540"/>
    </w:pPr>
    <w:rPr>
      <w:sz w:val="22"/>
    </w:rPr>
  </w:style>
  <w:style w:type="paragraph" w:styleId="BodyTextIndent">
    <w:name w:val="Body Text Indent"/>
    <w:basedOn w:val="Normal"/>
    <w:link w:val="BodyTextIndentChar"/>
    <w:semiHidden/>
    <w:unhideWhenUsed/>
    <w:rsid w:val="00252B4A"/>
    <w:pPr>
      <w:spacing w:after="120"/>
      <w:ind w:left="360"/>
    </w:pPr>
  </w:style>
  <w:style w:type="character" w:customStyle="1" w:styleId="BodyTextIndentChar">
    <w:name w:val="Body Text Indent Char"/>
    <w:basedOn w:val="DefaultParagraphFont"/>
    <w:link w:val="BodyTextIndent"/>
    <w:semiHidden/>
    <w:rsid w:val="00252B4A"/>
    <w:rPr>
      <w:snapToGrid w:val="0"/>
      <w:sz w:val="24"/>
    </w:rPr>
  </w:style>
  <w:style w:type="paragraph" w:styleId="BodyTextFirstIndent2">
    <w:name w:val="Body Text First Indent 2"/>
    <w:basedOn w:val="BodyTextIndent"/>
    <w:link w:val="BodyTextFirstIndent2Char"/>
    <w:semiHidden/>
    <w:unhideWhenUsed/>
    <w:rsid w:val="00252B4A"/>
    <w:pPr>
      <w:spacing w:after="0"/>
      <w:ind w:firstLine="360"/>
    </w:pPr>
  </w:style>
  <w:style w:type="character" w:customStyle="1" w:styleId="BodyTextFirstIndent2Char">
    <w:name w:val="Body Text First Indent 2 Char"/>
    <w:basedOn w:val="BodyTextIndentChar"/>
    <w:link w:val="BodyTextFirstIndent2"/>
    <w:semiHidden/>
    <w:rsid w:val="00252B4A"/>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34" w:qFormat="1"/>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7609CE"/>
    <w:rPr>
      <w:sz w:val="16"/>
      <w:szCs w:val="16"/>
    </w:rPr>
  </w:style>
  <w:style w:type="paragraph" w:styleId="CommentText">
    <w:name w:val="annotation text"/>
    <w:basedOn w:val="Normal"/>
    <w:link w:val="CommentTextChar"/>
    <w:uiPriority w:val="99"/>
    <w:semiHidden/>
    <w:unhideWhenUsed/>
    <w:rsid w:val="007609CE"/>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7609CE"/>
    <w:rPr>
      <w:rFonts w:asciiTheme="minorHAnsi" w:eastAsiaTheme="minorHAnsi" w:hAnsiTheme="minorHAnsi" w:cstheme="minorBidi"/>
    </w:rPr>
  </w:style>
  <w:style w:type="paragraph" w:styleId="BodyTextFirstIndent">
    <w:name w:val="Body Text First Indent"/>
    <w:basedOn w:val="BodyText"/>
    <w:link w:val="BodyTextFirstIndentChar"/>
    <w:uiPriority w:val="99"/>
    <w:unhideWhenUsed/>
    <w:rsid w:val="007609C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00" w:line="276" w:lineRule="auto"/>
      <w:ind w:firstLine="360"/>
      <w:jc w:val="left"/>
    </w:pPr>
    <w:rPr>
      <w:rFonts w:asciiTheme="minorHAnsi" w:eastAsiaTheme="minorHAnsi" w:hAnsiTheme="minorHAnsi" w:cstheme="minorBidi"/>
      <w:b w:val="0"/>
      <w:snapToGrid/>
      <w:sz w:val="22"/>
      <w:szCs w:val="22"/>
    </w:rPr>
  </w:style>
  <w:style w:type="character" w:customStyle="1" w:styleId="BodyTextFirstIndentChar">
    <w:name w:val="Body Text First Indent Char"/>
    <w:basedOn w:val="BodyTextChar"/>
    <w:link w:val="BodyTextFirstIndent"/>
    <w:uiPriority w:val="99"/>
    <w:rsid w:val="007609CE"/>
    <w:rPr>
      <w:rFonts w:asciiTheme="minorHAnsi" w:eastAsiaTheme="minorHAnsi" w:hAnsiTheme="minorHAnsi" w:cstheme="minorBidi"/>
      <w:b w:val="0"/>
      <w:snapToGrid/>
      <w:sz w:val="22"/>
      <w:szCs w:val="22"/>
    </w:rPr>
  </w:style>
  <w:style w:type="character" w:customStyle="1" w:styleId="CharChar6">
    <w:name w:val="Char Char6"/>
    <w:rsid w:val="00174D0C"/>
    <w:rPr>
      <w:sz w:val="24"/>
      <w:lang w:val="en-US" w:eastAsia="en-US" w:bidi="ar-SA"/>
    </w:rPr>
  </w:style>
  <w:style w:type="paragraph" w:styleId="TOC2">
    <w:name w:val="toc 2"/>
    <w:basedOn w:val="Normal"/>
    <w:next w:val="Normal"/>
    <w:autoRedefine/>
    <w:uiPriority w:val="39"/>
    <w:rsid w:val="00384AE1"/>
    <w:pPr>
      <w:tabs>
        <w:tab w:val="left" w:pos="2166"/>
        <w:tab w:val="right" w:leader="dot" w:pos="9350"/>
      </w:tabs>
      <w:ind w:firstLine="540"/>
    </w:pPr>
    <w:rPr>
      <w:sz w:val="22"/>
    </w:rPr>
  </w:style>
  <w:style w:type="paragraph" w:styleId="BodyTextIndent">
    <w:name w:val="Body Text Indent"/>
    <w:basedOn w:val="Normal"/>
    <w:link w:val="BodyTextIndentChar"/>
    <w:semiHidden/>
    <w:unhideWhenUsed/>
    <w:rsid w:val="00252B4A"/>
    <w:pPr>
      <w:spacing w:after="120"/>
      <w:ind w:left="360"/>
    </w:pPr>
  </w:style>
  <w:style w:type="character" w:customStyle="1" w:styleId="BodyTextIndentChar">
    <w:name w:val="Body Text Indent Char"/>
    <w:basedOn w:val="DefaultParagraphFont"/>
    <w:link w:val="BodyTextIndent"/>
    <w:semiHidden/>
    <w:rsid w:val="00252B4A"/>
    <w:rPr>
      <w:snapToGrid w:val="0"/>
      <w:sz w:val="24"/>
    </w:rPr>
  </w:style>
  <w:style w:type="paragraph" w:styleId="BodyTextFirstIndent2">
    <w:name w:val="Body Text First Indent 2"/>
    <w:basedOn w:val="BodyTextIndent"/>
    <w:link w:val="BodyTextFirstIndent2Char"/>
    <w:semiHidden/>
    <w:unhideWhenUsed/>
    <w:rsid w:val="00252B4A"/>
    <w:pPr>
      <w:spacing w:after="0"/>
      <w:ind w:firstLine="360"/>
    </w:pPr>
  </w:style>
  <w:style w:type="character" w:customStyle="1" w:styleId="BodyTextFirstIndent2Char">
    <w:name w:val="Body Text First Indent 2 Char"/>
    <w:basedOn w:val="BodyTextIndentChar"/>
    <w:link w:val="BodyTextFirstIndent2"/>
    <w:semiHidden/>
    <w:rsid w:val="00252B4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395">
      <w:bodyDiv w:val="1"/>
      <w:marLeft w:val="0"/>
      <w:marRight w:val="0"/>
      <w:marTop w:val="0"/>
      <w:marBottom w:val="0"/>
      <w:divBdr>
        <w:top w:val="none" w:sz="0" w:space="0" w:color="auto"/>
        <w:left w:val="none" w:sz="0" w:space="0" w:color="auto"/>
        <w:bottom w:val="none" w:sz="0" w:space="0" w:color="auto"/>
        <w:right w:val="none" w:sz="0" w:space="0" w:color="auto"/>
      </w:divBdr>
    </w:div>
    <w:div w:id="142282350">
      <w:bodyDiv w:val="1"/>
      <w:marLeft w:val="0"/>
      <w:marRight w:val="0"/>
      <w:marTop w:val="0"/>
      <w:marBottom w:val="0"/>
      <w:divBdr>
        <w:top w:val="none" w:sz="0" w:space="0" w:color="auto"/>
        <w:left w:val="none" w:sz="0" w:space="0" w:color="auto"/>
        <w:bottom w:val="none" w:sz="0" w:space="0" w:color="auto"/>
        <w:right w:val="none" w:sz="0" w:space="0" w:color="auto"/>
      </w:divBdr>
    </w:div>
    <w:div w:id="311374312">
      <w:bodyDiv w:val="1"/>
      <w:marLeft w:val="0"/>
      <w:marRight w:val="0"/>
      <w:marTop w:val="0"/>
      <w:marBottom w:val="0"/>
      <w:divBdr>
        <w:top w:val="none" w:sz="0" w:space="0" w:color="auto"/>
        <w:left w:val="none" w:sz="0" w:space="0" w:color="auto"/>
        <w:bottom w:val="none" w:sz="0" w:space="0" w:color="auto"/>
        <w:right w:val="none" w:sz="0" w:space="0" w:color="auto"/>
      </w:divBdr>
    </w:div>
    <w:div w:id="609357188">
      <w:bodyDiv w:val="1"/>
      <w:marLeft w:val="0"/>
      <w:marRight w:val="0"/>
      <w:marTop w:val="0"/>
      <w:marBottom w:val="0"/>
      <w:divBdr>
        <w:top w:val="none" w:sz="0" w:space="0" w:color="auto"/>
        <w:left w:val="none" w:sz="0" w:space="0" w:color="auto"/>
        <w:bottom w:val="none" w:sz="0" w:space="0" w:color="auto"/>
        <w:right w:val="none" w:sz="0" w:space="0" w:color="auto"/>
      </w:divBdr>
    </w:div>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936794757">
      <w:bodyDiv w:val="1"/>
      <w:marLeft w:val="0"/>
      <w:marRight w:val="0"/>
      <w:marTop w:val="0"/>
      <w:marBottom w:val="0"/>
      <w:divBdr>
        <w:top w:val="none" w:sz="0" w:space="0" w:color="auto"/>
        <w:left w:val="none" w:sz="0" w:space="0" w:color="auto"/>
        <w:bottom w:val="none" w:sz="0" w:space="0" w:color="auto"/>
        <w:right w:val="none" w:sz="0" w:space="0" w:color="auto"/>
      </w:divBdr>
    </w:div>
    <w:div w:id="1178500747">
      <w:bodyDiv w:val="1"/>
      <w:marLeft w:val="0"/>
      <w:marRight w:val="0"/>
      <w:marTop w:val="0"/>
      <w:marBottom w:val="0"/>
      <w:divBdr>
        <w:top w:val="none" w:sz="0" w:space="0" w:color="auto"/>
        <w:left w:val="none" w:sz="0" w:space="0" w:color="auto"/>
        <w:bottom w:val="none" w:sz="0" w:space="0" w:color="auto"/>
        <w:right w:val="none" w:sz="0" w:space="0" w:color="auto"/>
      </w:divBdr>
    </w:div>
    <w:div w:id="1394893678">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 w:id="17211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E9ECE-809F-4F85-9A09-DDC728E9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Memorandum.dotm</Template>
  <TotalTime>150</TotalTime>
  <Pages>9</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 Communication to Outside Counsel September 26, 2018 (LIBOR and HVCRE Updates)</dc:title>
  <dc:creator>Jennifer Rentenbach</dc:creator>
  <cp:lastModifiedBy>Fuller-Nicoll.Elizabeth</cp:lastModifiedBy>
  <cp:revision>64</cp:revision>
  <cp:lastPrinted>2018-09-26T14:54:00Z</cp:lastPrinted>
  <dcterms:created xsi:type="dcterms:W3CDTF">2018-09-26T14:00:00Z</dcterms:created>
  <dcterms:modified xsi:type="dcterms:W3CDTF">2018-09-28T17:27:00Z</dcterms:modified>
</cp:coreProperties>
</file>